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AB" w:rsidRPr="005B5CE3" w:rsidRDefault="00192CAB" w:rsidP="00192CAB">
      <w:pPr>
        <w:pStyle w:val="1"/>
        <w:rPr>
          <w:rStyle w:val="a5"/>
          <w:rFonts w:hint="eastAsia"/>
          <w:b w:val="0"/>
        </w:rPr>
      </w:pPr>
      <w:bookmarkStart w:id="0" w:name="_Toc334781235"/>
      <w:bookmarkStart w:id="1" w:name="_Toc335232917"/>
      <w:bookmarkStart w:id="2" w:name="_Toc335640280"/>
      <w:bookmarkStart w:id="3" w:name="_Toc335644729"/>
      <w:bookmarkStart w:id="4" w:name="_Toc335749236"/>
      <w:bookmarkStart w:id="5" w:name="_Toc338942095"/>
      <w:bookmarkStart w:id="6" w:name="_Toc339275885"/>
      <w:bookmarkStart w:id="7" w:name="_GoBack"/>
      <w:r w:rsidRPr="005B5CE3">
        <w:rPr>
          <w:rStyle w:val="a5"/>
          <w:rFonts w:hint="eastAsia"/>
          <w:b w:val="0"/>
        </w:rPr>
        <w:t>南京农业大学江苏高校优势学科建设工程</w:t>
      </w:r>
      <w:r w:rsidRPr="005B5CE3">
        <w:rPr>
          <w:rStyle w:val="a5"/>
          <w:b w:val="0"/>
        </w:rPr>
        <w:br/>
      </w:r>
      <w:r w:rsidRPr="005B5CE3">
        <w:rPr>
          <w:rStyle w:val="a5"/>
          <w:rFonts w:hint="eastAsia"/>
          <w:b w:val="0"/>
        </w:rPr>
        <w:t>专项资金管理暂行规定</w:t>
      </w:r>
      <w:bookmarkEnd w:id="0"/>
      <w:bookmarkEnd w:id="1"/>
      <w:bookmarkEnd w:id="2"/>
      <w:bookmarkEnd w:id="3"/>
      <w:bookmarkEnd w:id="4"/>
      <w:bookmarkEnd w:id="5"/>
      <w:bookmarkEnd w:id="6"/>
    </w:p>
    <w:bookmarkEnd w:id="7"/>
    <w:p w:rsidR="00192CAB" w:rsidRPr="005B5CE3" w:rsidRDefault="00192CAB" w:rsidP="00192CAB">
      <w:pPr>
        <w:spacing w:line="400" w:lineRule="atLeast"/>
        <w:ind w:firstLineChars="200" w:firstLine="480"/>
        <w:rPr>
          <w:rFonts w:eastAsia="仿宋_GB2312" w:hint="eastAsia"/>
          <w:color w:val="000000"/>
          <w:sz w:val="24"/>
        </w:rPr>
      </w:pPr>
    </w:p>
    <w:p w:rsidR="00192CAB" w:rsidRPr="005B5CE3" w:rsidRDefault="00192CAB" w:rsidP="00192CAB">
      <w:pPr>
        <w:pStyle w:val="3"/>
        <w:rPr>
          <w:rFonts w:hint="eastAsia"/>
        </w:rPr>
      </w:pPr>
      <w:bookmarkStart w:id="8" w:name="_Toc335749237"/>
      <w:r w:rsidRPr="005B5CE3">
        <w:rPr>
          <w:rFonts w:hint="eastAsia"/>
        </w:rPr>
        <w:t>第一章</w:t>
      </w:r>
      <w:r w:rsidRPr="005B5CE3">
        <w:rPr>
          <w:rFonts w:hint="eastAsia"/>
        </w:rPr>
        <w:t xml:space="preserve">  </w:t>
      </w:r>
      <w:r w:rsidRPr="005B5CE3">
        <w:rPr>
          <w:rFonts w:hint="eastAsia"/>
        </w:rPr>
        <w:t>总</w:t>
      </w:r>
      <w:r w:rsidRPr="005B5CE3">
        <w:rPr>
          <w:rFonts w:hint="eastAsia"/>
        </w:rPr>
        <w:t xml:space="preserve">  </w:t>
      </w:r>
      <w:r w:rsidRPr="005B5CE3">
        <w:rPr>
          <w:rFonts w:hint="eastAsia"/>
        </w:rPr>
        <w:t>则</w:t>
      </w:r>
      <w:bookmarkEnd w:id="8"/>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第一条</w:t>
      </w:r>
      <w:r w:rsidRPr="005B5CE3">
        <w:rPr>
          <w:rFonts w:eastAsia="仿宋_GB2312" w:hint="eastAsia"/>
          <w:b/>
          <w:color w:val="000000"/>
          <w:sz w:val="24"/>
        </w:rPr>
        <w:t xml:space="preserve">  </w:t>
      </w:r>
      <w:r w:rsidRPr="005B5CE3">
        <w:rPr>
          <w:rFonts w:eastAsia="仿宋_GB2312" w:hint="eastAsia"/>
          <w:color w:val="000000"/>
          <w:sz w:val="24"/>
        </w:rPr>
        <w:t>为加强和规范我校“江苏高校优势学科建设工程”项目专项资金管理，提高资金使用效益，根据《江苏高校优势学科建设工程专项资金管理暂行办法》（苏财</w:t>
      </w:r>
      <w:proofErr w:type="gramStart"/>
      <w:r w:rsidRPr="005B5CE3">
        <w:rPr>
          <w:rFonts w:eastAsia="仿宋_GB2312" w:hint="eastAsia"/>
          <w:color w:val="000000"/>
          <w:sz w:val="24"/>
        </w:rPr>
        <w:t>规</w:t>
      </w:r>
      <w:proofErr w:type="gramEnd"/>
      <w:r w:rsidRPr="005B5CE3">
        <w:rPr>
          <w:rFonts w:eastAsia="仿宋_GB2312" w:hint="eastAsia"/>
          <w:color w:val="000000"/>
          <w:sz w:val="24"/>
        </w:rPr>
        <w:t>〔</w:t>
      </w:r>
      <w:r w:rsidRPr="005B5CE3">
        <w:rPr>
          <w:rFonts w:eastAsia="仿宋_GB2312" w:hint="eastAsia"/>
          <w:color w:val="000000"/>
          <w:sz w:val="24"/>
        </w:rPr>
        <w:t>2010</w:t>
      </w:r>
      <w:r w:rsidRPr="005B5CE3">
        <w:rPr>
          <w:rFonts w:eastAsia="仿宋_GB2312" w:hint="eastAsia"/>
          <w:color w:val="000000"/>
          <w:sz w:val="24"/>
        </w:rPr>
        <w:t>〕</w:t>
      </w:r>
      <w:r w:rsidRPr="005B5CE3">
        <w:rPr>
          <w:rFonts w:eastAsia="仿宋_GB2312" w:hint="eastAsia"/>
          <w:color w:val="000000"/>
          <w:sz w:val="24"/>
        </w:rPr>
        <w:t>37</w:t>
      </w:r>
      <w:r w:rsidRPr="005B5CE3">
        <w:rPr>
          <w:rFonts w:eastAsia="仿宋_GB2312" w:hint="eastAsia"/>
          <w:color w:val="000000"/>
          <w:sz w:val="24"/>
        </w:rPr>
        <w:t>号）、《省政府办公厅关于印发江苏高校优势学科建设工程实施方案的通知》（苏政发〔</w:t>
      </w:r>
      <w:r w:rsidRPr="005B5CE3">
        <w:rPr>
          <w:rFonts w:eastAsia="仿宋_GB2312" w:hint="eastAsia"/>
          <w:color w:val="000000"/>
          <w:sz w:val="24"/>
        </w:rPr>
        <w:t>2010</w:t>
      </w:r>
      <w:r w:rsidRPr="005B5CE3">
        <w:rPr>
          <w:rFonts w:eastAsia="仿宋_GB2312" w:hint="eastAsia"/>
          <w:color w:val="000000"/>
          <w:sz w:val="24"/>
        </w:rPr>
        <w:t>〕</w:t>
      </w:r>
      <w:r w:rsidRPr="005B5CE3">
        <w:rPr>
          <w:rFonts w:eastAsia="仿宋_GB2312" w:hint="eastAsia"/>
          <w:color w:val="000000"/>
          <w:sz w:val="24"/>
        </w:rPr>
        <w:t>118</w:t>
      </w:r>
      <w:r w:rsidRPr="005B5CE3">
        <w:rPr>
          <w:rFonts w:eastAsia="仿宋_GB2312" w:hint="eastAsia"/>
          <w:color w:val="000000"/>
          <w:sz w:val="24"/>
        </w:rPr>
        <w:t>号）、《关于对高校优势学科建设工程专项资金实行跟踪审计的通知》（</w:t>
      </w:r>
      <w:proofErr w:type="gramStart"/>
      <w:r w:rsidRPr="005B5CE3">
        <w:rPr>
          <w:rFonts w:eastAsia="仿宋_GB2312" w:hint="eastAsia"/>
          <w:color w:val="000000"/>
          <w:sz w:val="24"/>
        </w:rPr>
        <w:t>苏教审</w:t>
      </w:r>
      <w:proofErr w:type="gramEnd"/>
      <w:r w:rsidRPr="005B5CE3">
        <w:rPr>
          <w:rFonts w:eastAsia="仿宋_GB2312" w:hint="eastAsia"/>
          <w:color w:val="000000"/>
          <w:sz w:val="24"/>
        </w:rPr>
        <w:t>〔</w:t>
      </w:r>
      <w:r w:rsidRPr="005B5CE3">
        <w:rPr>
          <w:rFonts w:eastAsia="仿宋_GB2312" w:hint="eastAsia"/>
          <w:color w:val="000000"/>
          <w:sz w:val="24"/>
        </w:rPr>
        <w:t>2011</w:t>
      </w:r>
      <w:r w:rsidRPr="005B5CE3">
        <w:rPr>
          <w:rFonts w:eastAsia="仿宋_GB2312" w:hint="eastAsia"/>
          <w:color w:val="000000"/>
          <w:sz w:val="24"/>
        </w:rPr>
        <w:t>〕</w:t>
      </w:r>
      <w:r w:rsidRPr="005B5CE3">
        <w:rPr>
          <w:rFonts w:eastAsia="仿宋_GB2312" w:hint="eastAsia"/>
          <w:color w:val="000000"/>
          <w:sz w:val="24"/>
        </w:rPr>
        <w:t>3</w:t>
      </w:r>
      <w:r w:rsidRPr="005B5CE3">
        <w:rPr>
          <w:rFonts w:eastAsia="仿宋_GB2312" w:hint="eastAsia"/>
          <w:color w:val="000000"/>
          <w:sz w:val="24"/>
        </w:rPr>
        <w:t>号）等有关规定，结合学校的实际情况制定本规定。</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学校获取的</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学科建设工程专项资金均为学校收入，全部纳入学校财务统一管理，应按项目独立建账，专项核算，确保专款专用。</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第三条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学校优势学科建设工程项目专项资金须用于优质资源建设、创新团队建设、人才培养及科研创新等方面。</w:t>
      </w:r>
    </w:p>
    <w:p w:rsidR="00192CAB" w:rsidRPr="005B5CE3" w:rsidRDefault="00192CAB" w:rsidP="00192CAB">
      <w:pPr>
        <w:pStyle w:val="3"/>
        <w:rPr>
          <w:rFonts w:hint="eastAsia"/>
        </w:rPr>
      </w:pPr>
      <w:bookmarkStart w:id="9" w:name="_Toc335749238"/>
      <w:r w:rsidRPr="005B5CE3">
        <w:rPr>
          <w:rFonts w:hint="eastAsia"/>
        </w:rPr>
        <w:t>第二章</w:t>
      </w:r>
      <w:r w:rsidRPr="005B5CE3">
        <w:rPr>
          <w:rFonts w:hint="eastAsia"/>
        </w:rPr>
        <w:t xml:space="preserve">  </w:t>
      </w:r>
      <w:r w:rsidRPr="005B5CE3">
        <w:rPr>
          <w:rFonts w:hint="eastAsia"/>
        </w:rPr>
        <w:t>管理职责</w:t>
      </w:r>
      <w:bookmarkEnd w:id="9"/>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第四条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建立健全学校</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学科建设工程专项经费管理责任制。学校主管学科建设、财务工作的校领导对</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学科建设专项资金的管理和使用负责；发展规划与学科建设处、计财处、监察审计处、相关学院和项目负责人各负其责，密切配合，做好</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学科建设专项资金的管理工作。</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（一）发展规划与学科建设处负责学校</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学科建设工程项目的管理，负责审核专项经费的支出，并配合计财处做好</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学科建设专项资金管理的有关工作。</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（二）计财处是学校经费管理的职能部门，负责</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学科建设专项经费的财务管理和会计核算，指导项目负责人编制经费预算，审查项目决算，监督、指导项目负责人按照项目立项任务书或合同约定，以及有关财务管理规定在其权限范围内使用项目经费。</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（三）监察审计处负责做好项目的跟踪审计和专项审计。</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（四）立项学科相关学院协助有关职能部门对本单位</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学科建设专项资金的使用进行监督，负责对项目负责人使用</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学科建设专项经费的审签，对用</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学科建设资金购置的固定资产的使用负有监督和管理责任。</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lastRenderedPageBreak/>
        <w:t>（五）项目负责人是项目经费使用和管理的第一责任人，负责</w:t>
      </w:r>
      <w:proofErr w:type="gramStart"/>
      <w:r w:rsidRPr="005B5CE3">
        <w:rPr>
          <w:rFonts w:eastAsia="仿宋_GB2312" w:hint="eastAsia"/>
          <w:color w:val="000000"/>
          <w:sz w:val="24"/>
        </w:rPr>
        <w:t>编制省优势</w:t>
      </w:r>
      <w:proofErr w:type="gramEnd"/>
      <w:r w:rsidRPr="005B5CE3">
        <w:rPr>
          <w:rFonts w:eastAsia="仿宋_GB2312" w:hint="eastAsia"/>
          <w:color w:val="000000"/>
          <w:sz w:val="24"/>
        </w:rPr>
        <w:t>学科建设专项经费的预算和决算，负责批准在预算范围内各类开支及报销单据的审签，并按规定合理使用经费。项目负责人应自觉接受上级财政部门、行政主管部门、国家审计机关和项目委托单位的监督检查，并对项目经费使用的真实性、合法性和有效性承担经济与法律责任。</w:t>
      </w:r>
    </w:p>
    <w:p w:rsidR="00192CAB" w:rsidRPr="005B5CE3" w:rsidRDefault="00192CAB" w:rsidP="00192CAB">
      <w:pPr>
        <w:pStyle w:val="3"/>
        <w:rPr>
          <w:rFonts w:hint="eastAsia"/>
        </w:rPr>
      </w:pPr>
      <w:bookmarkStart w:id="10" w:name="_Toc335749239"/>
      <w:r w:rsidRPr="005B5CE3">
        <w:rPr>
          <w:rFonts w:hint="eastAsia"/>
        </w:rPr>
        <w:t>第三章</w:t>
      </w:r>
      <w:r w:rsidRPr="005B5CE3">
        <w:rPr>
          <w:rFonts w:hint="eastAsia"/>
        </w:rPr>
        <w:t xml:space="preserve">  </w:t>
      </w:r>
      <w:r w:rsidRPr="005B5CE3">
        <w:rPr>
          <w:rFonts w:hint="eastAsia"/>
        </w:rPr>
        <w:t>资金使用范围</w:t>
      </w:r>
      <w:bookmarkEnd w:id="10"/>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第五条</w:t>
      </w:r>
      <w:r w:rsidRPr="005B5CE3">
        <w:rPr>
          <w:rFonts w:eastAsia="仿宋_GB2312" w:hint="eastAsia"/>
          <w:b/>
          <w:color w:val="000000"/>
          <w:sz w:val="24"/>
        </w:rPr>
        <w:t xml:space="preserve"> </w:t>
      </w:r>
      <w:r w:rsidRPr="005B5CE3">
        <w:rPr>
          <w:rFonts w:eastAsia="仿宋_GB2312" w:hint="eastAsia"/>
          <w:color w:val="000000"/>
          <w:sz w:val="24"/>
        </w:rPr>
        <w:t xml:space="preserve"> </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学科建设专项资金使用的范围，应严格按照江苏省财政厅、教育厅批准的预算计划书的具体支出项目执行，主要包括以下内容：</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（一）设备费：是指在项目实施过程中购置或试制专用仪器设备，对现有仪器设备进行升级改造，以及租赁使用外单位仪器设备而发生的费用。</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（二）维修、维护及运行费：是指在项目实施过程中专用仪器设备维修、维护发生的费用，以及项目实施过程中相关大型仪器设备、专用科学装置等运行发生的可以单独计量的水、电、气、燃料消耗费用等。</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（三）材料费：是指在项目实施过程中由于消耗各种必需的原材料、辅助材料等低值易耗品而发生的采购、运输、装卸和整理等费用。</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（四）测试化验加工费：是指在项目实施过程中由于承担单位自身的技术、工艺和设备等条件的限制，必须支付给外单位（包括项目高校内部独立经济核算单位）的检验、测试、设计、化验及加工等费用。</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（五）差旅费：是指在项目实施过程中开展科学实验（试验）、科学考察、业务调研、学术交流等所发生的外埠差旅费、市内交通费用等。差旅费的开支标准应当按照国家和学校有关规定执行。</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（六）会议费：是指在项目实施过程中为组织开展相关的学术研讨、咨询以及协调任务等活动而发生的会议费用。应当参照国家有关规定，严格控制会议数量、规模、开支标准和会期。</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（七）国际合作与交流费：是指在项目实施过程中相关人员出国及外国专家来华工作而发生的费用。国际合作与交流费应当执行国家及学校外事经费管理的有关规定。</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（八）出版、文献、信息传播及知识产权事务费：是指在项目实施过程中，需要支付的出版费、图书购置费、资料费、专用软件购买费、文献检索费、专业通信费、专利申请及其他知识产权事务等费用。</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九）劳务费：是指在项目实施过程中支付给项目组成人员中没有工资性收入的相关研发人员（包括客座人员、在校研究生等）和临时聘用人员等的劳务性费用。学校聘用的参与重大专项研究任务的优秀高校毕业生在聘用期内所需的劳</w:t>
      </w:r>
      <w:r w:rsidRPr="005B5CE3">
        <w:rPr>
          <w:rFonts w:eastAsia="仿宋_GB2312" w:hint="eastAsia"/>
          <w:color w:val="000000"/>
          <w:sz w:val="24"/>
        </w:rPr>
        <w:lastRenderedPageBreak/>
        <w:t>务性费用和有关的社会保险费补助，可以在劳务费中列支。</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（十）专家咨询费：是指在项目实施过程中支付给临时外聘专家的咨询费用。专家咨询费不得支付给参与项目实施或管理的相关工作人员。专家咨询费的开支标准见下表。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528"/>
        <w:gridCol w:w="2533"/>
        <w:gridCol w:w="2539"/>
      </w:tblGrid>
      <w:tr w:rsidR="00192CAB" w:rsidRPr="005B5CE3" w:rsidTr="00090A40">
        <w:trPr>
          <w:trHeight w:val="299"/>
          <w:jc w:val="center"/>
        </w:trPr>
        <w:tc>
          <w:tcPr>
            <w:tcW w:w="2460" w:type="dxa"/>
            <w:vAlign w:val="center"/>
          </w:tcPr>
          <w:p w:rsidR="00192CAB" w:rsidRPr="005B5CE3" w:rsidRDefault="00192CAB" w:rsidP="00090A40">
            <w:pPr>
              <w:spacing w:line="340" w:lineRule="atLeast"/>
              <w:rPr>
                <w:rFonts w:eastAsia="仿宋_GB2312" w:hint="eastAsia"/>
                <w:b/>
                <w:color w:val="000000"/>
                <w:szCs w:val="21"/>
              </w:rPr>
            </w:pPr>
            <w:r w:rsidRPr="005B5CE3">
              <w:rPr>
                <w:rFonts w:eastAsia="仿宋_GB2312" w:hint="eastAsia"/>
                <w:b/>
                <w:color w:val="000000"/>
                <w:szCs w:val="21"/>
              </w:rPr>
              <w:t>咨询专家</w:t>
            </w:r>
          </w:p>
        </w:tc>
        <w:tc>
          <w:tcPr>
            <w:tcW w:w="1528" w:type="dxa"/>
            <w:vAlign w:val="center"/>
          </w:tcPr>
          <w:p w:rsidR="00192CAB" w:rsidRPr="005B5CE3" w:rsidRDefault="00192CAB" w:rsidP="00090A40">
            <w:pPr>
              <w:spacing w:line="340" w:lineRule="atLeast"/>
              <w:rPr>
                <w:rFonts w:eastAsia="仿宋_GB2312" w:hint="eastAsia"/>
                <w:b/>
                <w:color w:val="000000"/>
                <w:szCs w:val="21"/>
              </w:rPr>
            </w:pPr>
            <w:r w:rsidRPr="005B5CE3">
              <w:rPr>
                <w:rFonts w:eastAsia="仿宋_GB2312" w:hint="eastAsia"/>
                <w:b/>
                <w:color w:val="000000"/>
                <w:szCs w:val="21"/>
              </w:rPr>
              <w:t>咨询方式</w:t>
            </w:r>
          </w:p>
        </w:tc>
        <w:tc>
          <w:tcPr>
            <w:tcW w:w="5072" w:type="dxa"/>
            <w:gridSpan w:val="2"/>
            <w:vAlign w:val="center"/>
          </w:tcPr>
          <w:p w:rsidR="00192CAB" w:rsidRPr="005B5CE3" w:rsidRDefault="00192CAB" w:rsidP="00090A40">
            <w:pPr>
              <w:spacing w:line="340" w:lineRule="atLeast"/>
              <w:rPr>
                <w:rFonts w:eastAsia="仿宋_GB2312" w:hint="eastAsia"/>
                <w:b/>
                <w:color w:val="000000"/>
                <w:szCs w:val="21"/>
              </w:rPr>
            </w:pPr>
            <w:r w:rsidRPr="005B5CE3">
              <w:rPr>
                <w:rFonts w:eastAsia="仿宋_GB2312" w:hint="eastAsia"/>
                <w:b/>
                <w:color w:val="000000"/>
                <w:szCs w:val="21"/>
              </w:rPr>
              <w:t>标准</w:t>
            </w:r>
          </w:p>
        </w:tc>
      </w:tr>
      <w:tr w:rsidR="00192CAB" w:rsidRPr="005B5CE3" w:rsidTr="00090A40">
        <w:trPr>
          <w:trHeight w:val="1318"/>
          <w:jc w:val="center"/>
        </w:trPr>
        <w:tc>
          <w:tcPr>
            <w:tcW w:w="2460" w:type="dxa"/>
            <w:vMerge w:val="restart"/>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具有或相当于高级专业技术职称的人员</w:t>
            </w:r>
          </w:p>
        </w:tc>
        <w:tc>
          <w:tcPr>
            <w:tcW w:w="1528"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会议咨询</w:t>
            </w:r>
          </w:p>
        </w:tc>
        <w:tc>
          <w:tcPr>
            <w:tcW w:w="2533"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800-1000</w:t>
            </w:r>
            <w:r w:rsidRPr="005B5CE3">
              <w:rPr>
                <w:rFonts w:eastAsia="仿宋_GB2312" w:hint="eastAsia"/>
                <w:color w:val="000000"/>
                <w:szCs w:val="21"/>
              </w:rPr>
              <w:t>（元</w:t>
            </w:r>
            <w:r w:rsidRPr="005B5CE3">
              <w:rPr>
                <w:rFonts w:eastAsia="仿宋_GB2312" w:hint="eastAsia"/>
                <w:color w:val="000000"/>
                <w:szCs w:val="21"/>
              </w:rPr>
              <w:t>/</w:t>
            </w:r>
            <w:r w:rsidRPr="005B5CE3">
              <w:rPr>
                <w:rFonts w:eastAsia="仿宋_GB2312" w:hint="eastAsia"/>
                <w:color w:val="000000"/>
                <w:szCs w:val="21"/>
              </w:rPr>
              <w:t>人·天）</w:t>
            </w:r>
          </w:p>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（第</w:t>
            </w:r>
            <w:r w:rsidRPr="005B5CE3">
              <w:rPr>
                <w:rFonts w:eastAsia="仿宋_GB2312" w:hint="eastAsia"/>
                <w:color w:val="000000"/>
                <w:szCs w:val="21"/>
              </w:rPr>
              <w:t>1</w:t>
            </w:r>
            <w:r w:rsidRPr="005B5CE3">
              <w:rPr>
                <w:rFonts w:eastAsia="仿宋_GB2312" w:hint="eastAsia"/>
                <w:color w:val="000000"/>
                <w:szCs w:val="21"/>
              </w:rPr>
              <w:t>、</w:t>
            </w:r>
            <w:r w:rsidRPr="005B5CE3">
              <w:rPr>
                <w:rFonts w:eastAsia="仿宋_GB2312" w:hint="eastAsia"/>
                <w:color w:val="000000"/>
                <w:szCs w:val="21"/>
              </w:rPr>
              <w:t>2</w:t>
            </w:r>
            <w:r w:rsidRPr="005B5CE3">
              <w:rPr>
                <w:rFonts w:eastAsia="仿宋_GB2312" w:hint="eastAsia"/>
                <w:color w:val="000000"/>
                <w:szCs w:val="21"/>
              </w:rPr>
              <w:t>天）</w:t>
            </w:r>
          </w:p>
        </w:tc>
        <w:tc>
          <w:tcPr>
            <w:tcW w:w="2539"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400-500</w:t>
            </w:r>
            <w:r w:rsidRPr="005B5CE3">
              <w:rPr>
                <w:rFonts w:eastAsia="仿宋_GB2312" w:hint="eastAsia"/>
                <w:color w:val="000000"/>
                <w:szCs w:val="21"/>
              </w:rPr>
              <w:t>（元</w:t>
            </w:r>
            <w:r w:rsidRPr="005B5CE3">
              <w:rPr>
                <w:rFonts w:eastAsia="仿宋_GB2312" w:hint="eastAsia"/>
                <w:color w:val="000000"/>
                <w:szCs w:val="21"/>
              </w:rPr>
              <w:t>/</w:t>
            </w:r>
            <w:r w:rsidRPr="005B5CE3">
              <w:rPr>
                <w:rFonts w:eastAsia="仿宋_GB2312" w:hint="eastAsia"/>
                <w:color w:val="000000"/>
                <w:szCs w:val="21"/>
              </w:rPr>
              <w:t>人·天）</w:t>
            </w:r>
          </w:p>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（第</w:t>
            </w:r>
            <w:r w:rsidRPr="005B5CE3">
              <w:rPr>
                <w:rFonts w:eastAsia="仿宋_GB2312" w:hint="eastAsia"/>
                <w:color w:val="000000"/>
                <w:szCs w:val="21"/>
              </w:rPr>
              <w:t>3</w:t>
            </w:r>
            <w:r w:rsidRPr="005B5CE3">
              <w:rPr>
                <w:rFonts w:eastAsia="仿宋_GB2312" w:hint="eastAsia"/>
                <w:color w:val="000000"/>
                <w:szCs w:val="21"/>
              </w:rPr>
              <w:t>天以后）</w:t>
            </w:r>
          </w:p>
        </w:tc>
      </w:tr>
      <w:tr w:rsidR="00192CAB" w:rsidRPr="005B5CE3" w:rsidTr="00090A40">
        <w:trPr>
          <w:trHeight w:val="357"/>
          <w:jc w:val="center"/>
        </w:trPr>
        <w:tc>
          <w:tcPr>
            <w:tcW w:w="2460" w:type="dxa"/>
            <w:vMerge/>
            <w:vAlign w:val="center"/>
          </w:tcPr>
          <w:p w:rsidR="00192CAB" w:rsidRPr="005B5CE3" w:rsidRDefault="00192CAB" w:rsidP="00090A40">
            <w:pPr>
              <w:spacing w:line="340" w:lineRule="atLeast"/>
              <w:rPr>
                <w:rFonts w:eastAsia="仿宋_GB2312" w:hint="eastAsia"/>
                <w:color w:val="000000"/>
                <w:szCs w:val="21"/>
              </w:rPr>
            </w:pPr>
          </w:p>
        </w:tc>
        <w:tc>
          <w:tcPr>
            <w:tcW w:w="1528"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通讯咨询</w:t>
            </w:r>
          </w:p>
        </w:tc>
        <w:tc>
          <w:tcPr>
            <w:tcW w:w="5072" w:type="dxa"/>
            <w:gridSpan w:val="2"/>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60-100</w:t>
            </w:r>
            <w:r w:rsidRPr="005B5CE3">
              <w:rPr>
                <w:rFonts w:eastAsia="仿宋_GB2312" w:hint="eastAsia"/>
                <w:color w:val="000000"/>
                <w:szCs w:val="21"/>
              </w:rPr>
              <w:t>（元</w:t>
            </w:r>
            <w:r w:rsidRPr="005B5CE3">
              <w:rPr>
                <w:rFonts w:eastAsia="仿宋_GB2312" w:hint="eastAsia"/>
                <w:color w:val="000000"/>
                <w:szCs w:val="21"/>
              </w:rPr>
              <w:t>/</w:t>
            </w:r>
            <w:r w:rsidRPr="005B5CE3">
              <w:rPr>
                <w:rFonts w:eastAsia="仿宋_GB2312" w:hint="eastAsia"/>
                <w:color w:val="000000"/>
                <w:szCs w:val="21"/>
              </w:rPr>
              <w:t>人·</w:t>
            </w:r>
            <w:proofErr w:type="gramStart"/>
            <w:r w:rsidRPr="005B5CE3">
              <w:rPr>
                <w:rFonts w:eastAsia="仿宋_GB2312" w:hint="eastAsia"/>
                <w:color w:val="000000"/>
                <w:szCs w:val="21"/>
              </w:rPr>
              <w:t>个</w:t>
            </w:r>
            <w:proofErr w:type="gramEnd"/>
            <w:r w:rsidRPr="005B5CE3">
              <w:rPr>
                <w:rFonts w:eastAsia="仿宋_GB2312" w:hint="eastAsia"/>
                <w:color w:val="000000"/>
                <w:szCs w:val="21"/>
              </w:rPr>
              <w:t>项目）</w:t>
            </w:r>
          </w:p>
        </w:tc>
      </w:tr>
      <w:tr w:rsidR="00192CAB" w:rsidRPr="005B5CE3" w:rsidTr="00090A40">
        <w:trPr>
          <w:trHeight w:val="299"/>
          <w:jc w:val="center"/>
        </w:trPr>
        <w:tc>
          <w:tcPr>
            <w:tcW w:w="2460" w:type="dxa"/>
            <w:vMerge w:val="restart"/>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其他人员</w:t>
            </w:r>
          </w:p>
        </w:tc>
        <w:tc>
          <w:tcPr>
            <w:tcW w:w="1528"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会议咨询</w:t>
            </w:r>
          </w:p>
        </w:tc>
        <w:tc>
          <w:tcPr>
            <w:tcW w:w="2533"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300-500</w:t>
            </w:r>
            <w:r w:rsidRPr="005B5CE3">
              <w:rPr>
                <w:rFonts w:eastAsia="仿宋_GB2312" w:hint="eastAsia"/>
                <w:color w:val="000000"/>
                <w:szCs w:val="21"/>
              </w:rPr>
              <w:t>（元</w:t>
            </w:r>
            <w:r w:rsidRPr="005B5CE3">
              <w:rPr>
                <w:rFonts w:eastAsia="仿宋_GB2312" w:hint="eastAsia"/>
                <w:color w:val="000000"/>
                <w:szCs w:val="21"/>
              </w:rPr>
              <w:t>/</w:t>
            </w:r>
            <w:r w:rsidRPr="005B5CE3">
              <w:rPr>
                <w:rFonts w:eastAsia="仿宋_GB2312" w:hint="eastAsia"/>
                <w:color w:val="000000"/>
                <w:szCs w:val="21"/>
              </w:rPr>
              <w:t>人·天）</w:t>
            </w:r>
          </w:p>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（第</w:t>
            </w:r>
            <w:r w:rsidRPr="005B5CE3">
              <w:rPr>
                <w:rFonts w:eastAsia="仿宋_GB2312" w:hint="eastAsia"/>
                <w:color w:val="000000"/>
                <w:szCs w:val="21"/>
              </w:rPr>
              <w:t>1</w:t>
            </w:r>
            <w:r w:rsidRPr="005B5CE3">
              <w:rPr>
                <w:rFonts w:eastAsia="仿宋_GB2312" w:hint="eastAsia"/>
                <w:color w:val="000000"/>
                <w:szCs w:val="21"/>
              </w:rPr>
              <w:t>、</w:t>
            </w:r>
            <w:r w:rsidRPr="005B5CE3">
              <w:rPr>
                <w:rFonts w:eastAsia="仿宋_GB2312" w:hint="eastAsia"/>
                <w:color w:val="000000"/>
                <w:szCs w:val="21"/>
              </w:rPr>
              <w:t>2</w:t>
            </w:r>
            <w:r w:rsidRPr="005B5CE3">
              <w:rPr>
                <w:rFonts w:eastAsia="仿宋_GB2312" w:hint="eastAsia"/>
                <w:color w:val="000000"/>
                <w:szCs w:val="21"/>
              </w:rPr>
              <w:t>天）</w:t>
            </w:r>
          </w:p>
        </w:tc>
        <w:tc>
          <w:tcPr>
            <w:tcW w:w="2539"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200-300</w:t>
            </w:r>
            <w:r w:rsidRPr="005B5CE3">
              <w:rPr>
                <w:rFonts w:eastAsia="仿宋_GB2312" w:hint="eastAsia"/>
                <w:color w:val="000000"/>
                <w:szCs w:val="21"/>
              </w:rPr>
              <w:t>（元</w:t>
            </w:r>
            <w:r w:rsidRPr="005B5CE3">
              <w:rPr>
                <w:rFonts w:eastAsia="仿宋_GB2312" w:hint="eastAsia"/>
                <w:color w:val="000000"/>
                <w:szCs w:val="21"/>
              </w:rPr>
              <w:t>/</w:t>
            </w:r>
            <w:r w:rsidRPr="005B5CE3">
              <w:rPr>
                <w:rFonts w:eastAsia="仿宋_GB2312" w:hint="eastAsia"/>
                <w:color w:val="000000"/>
                <w:szCs w:val="21"/>
              </w:rPr>
              <w:t>人·天）</w:t>
            </w:r>
          </w:p>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（第</w:t>
            </w:r>
            <w:r w:rsidRPr="005B5CE3">
              <w:rPr>
                <w:rFonts w:eastAsia="仿宋_GB2312" w:hint="eastAsia"/>
                <w:color w:val="000000"/>
                <w:szCs w:val="21"/>
              </w:rPr>
              <w:t>3</w:t>
            </w:r>
            <w:r w:rsidRPr="005B5CE3">
              <w:rPr>
                <w:rFonts w:eastAsia="仿宋_GB2312" w:hint="eastAsia"/>
                <w:color w:val="000000"/>
                <w:szCs w:val="21"/>
              </w:rPr>
              <w:t>天以后）</w:t>
            </w:r>
          </w:p>
        </w:tc>
      </w:tr>
      <w:tr w:rsidR="00192CAB" w:rsidRPr="005B5CE3" w:rsidTr="00090A40">
        <w:trPr>
          <w:trHeight w:val="299"/>
          <w:jc w:val="center"/>
        </w:trPr>
        <w:tc>
          <w:tcPr>
            <w:tcW w:w="2460" w:type="dxa"/>
            <w:vMerge/>
            <w:vAlign w:val="center"/>
          </w:tcPr>
          <w:p w:rsidR="00192CAB" w:rsidRPr="005B5CE3" w:rsidRDefault="00192CAB" w:rsidP="00090A40">
            <w:pPr>
              <w:spacing w:line="340" w:lineRule="atLeast"/>
              <w:rPr>
                <w:rFonts w:eastAsia="仿宋_GB2312" w:hint="eastAsia"/>
                <w:color w:val="000000"/>
                <w:szCs w:val="21"/>
              </w:rPr>
            </w:pPr>
          </w:p>
        </w:tc>
        <w:tc>
          <w:tcPr>
            <w:tcW w:w="1528" w:type="dxa"/>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通讯咨询</w:t>
            </w:r>
          </w:p>
        </w:tc>
        <w:tc>
          <w:tcPr>
            <w:tcW w:w="5072" w:type="dxa"/>
            <w:gridSpan w:val="2"/>
            <w:vAlign w:val="center"/>
          </w:tcPr>
          <w:p w:rsidR="00192CAB" w:rsidRPr="005B5CE3" w:rsidRDefault="00192CAB" w:rsidP="00090A40">
            <w:pPr>
              <w:spacing w:line="340" w:lineRule="atLeast"/>
              <w:rPr>
                <w:rFonts w:eastAsia="仿宋_GB2312" w:hint="eastAsia"/>
                <w:color w:val="000000"/>
                <w:szCs w:val="21"/>
              </w:rPr>
            </w:pPr>
            <w:r w:rsidRPr="005B5CE3">
              <w:rPr>
                <w:rFonts w:eastAsia="仿宋_GB2312" w:hint="eastAsia"/>
                <w:color w:val="000000"/>
                <w:szCs w:val="21"/>
              </w:rPr>
              <w:t>40-80</w:t>
            </w:r>
            <w:r w:rsidRPr="005B5CE3">
              <w:rPr>
                <w:rFonts w:eastAsia="仿宋_GB2312" w:hint="eastAsia"/>
                <w:color w:val="000000"/>
                <w:szCs w:val="21"/>
              </w:rPr>
              <w:t>（元</w:t>
            </w:r>
            <w:r w:rsidRPr="005B5CE3">
              <w:rPr>
                <w:rFonts w:eastAsia="仿宋_GB2312" w:hint="eastAsia"/>
                <w:color w:val="000000"/>
                <w:szCs w:val="21"/>
              </w:rPr>
              <w:t>/</w:t>
            </w:r>
            <w:r w:rsidRPr="005B5CE3">
              <w:rPr>
                <w:rFonts w:eastAsia="仿宋_GB2312" w:hint="eastAsia"/>
                <w:color w:val="000000"/>
                <w:szCs w:val="21"/>
              </w:rPr>
              <w:t>人·</w:t>
            </w:r>
            <w:proofErr w:type="gramStart"/>
            <w:r w:rsidRPr="005B5CE3">
              <w:rPr>
                <w:rFonts w:eastAsia="仿宋_GB2312" w:hint="eastAsia"/>
                <w:color w:val="000000"/>
                <w:szCs w:val="21"/>
              </w:rPr>
              <w:t>个</w:t>
            </w:r>
            <w:proofErr w:type="gramEnd"/>
            <w:r w:rsidRPr="005B5CE3">
              <w:rPr>
                <w:rFonts w:eastAsia="仿宋_GB2312" w:hint="eastAsia"/>
                <w:color w:val="000000"/>
                <w:szCs w:val="21"/>
              </w:rPr>
              <w:t>项目）</w:t>
            </w:r>
          </w:p>
        </w:tc>
      </w:tr>
    </w:tbl>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（十一）人才培养引进费：是指在项目实施过程中发生的人才培养和引进方面的支出，包括引进国内外高层次人才一次性安家费等。</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第六条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项目在实施过程中发生的除上述费用之外的其他支出，应当在申请预算时单独列示，单独核定，否则不予列支。</w:t>
      </w:r>
    </w:p>
    <w:p w:rsidR="00192CAB" w:rsidRPr="005B5CE3" w:rsidRDefault="00192CAB" w:rsidP="00192CAB">
      <w:pPr>
        <w:pStyle w:val="3"/>
        <w:rPr>
          <w:rFonts w:hint="eastAsia"/>
        </w:rPr>
      </w:pPr>
      <w:bookmarkStart w:id="11" w:name="_Toc335749240"/>
      <w:r w:rsidRPr="005B5CE3">
        <w:rPr>
          <w:rFonts w:hint="eastAsia"/>
        </w:rPr>
        <w:t>第四章</w:t>
      </w:r>
      <w:r w:rsidRPr="005B5CE3">
        <w:rPr>
          <w:rFonts w:hint="eastAsia"/>
        </w:rPr>
        <w:t xml:space="preserve">  </w:t>
      </w:r>
      <w:r w:rsidRPr="005B5CE3">
        <w:rPr>
          <w:rFonts w:hint="eastAsia"/>
        </w:rPr>
        <w:t>资金支出管理</w:t>
      </w:r>
      <w:bookmarkEnd w:id="11"/>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第七条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优势学科建设工程项目专项资金的支付按照省财政国库集中支付的有关规定执行，不执行国库集中支付的，按学校有关财务规定执行，并接受教育厅、财政厅对专项资金事前、事中和事后审核监管，接受审计厅对项目经费的重点审计。</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第八条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各项目的每笔支出都必须按照上报的支付申请明细表执行，不得擅自更改。项目经费的借款、报账一律由经手人、验收人如实填写和签字，经项目负责人和所在学院主管</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学科建设工作的领导审签后到发展规划与学科建设处审核签字，再到计财处办理有关手续。一次性支出金额超过</w:t>
      </w:r>
      <w:r w:rsidRPr="005B5CE3">
        <w:rPr>
          <w:rFonts w:eastAsia="仿宋_GB2312" w:hint="eastAsia"/>
          <w:color w:val="000000"/>
          <w:sz w:val="24"/>
        </w:rPr>
        <w:t>5</w:t>
      </w:r>
      <w:r w:rsidRPr="005B5CE3">
        <w:rPr>
          <w:rFonts w:eastAsia="仿宋_GB2312" w:hint="eastAsia"/>
          <w:color w:val="000000"/>
          <w:sz w:val="24"/>
        </w:rPr>
        <w:t>万元及以上的，还需按照《南京农业大学大额资金使用管理办法》执行。</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第九条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项目资金支付中</w:t>
      </w:r>
      <w:r w:rsidRPr="005B5CE3">
        <w:rPr>
          <w:rFonts w:eastAsia="仿宋_GB2312" w:hint="eastAsia"/>
          <w:color w:val="000000"/>
          <w:sz w:val="24"/>
        </w:rPr>
        <w:t>10</w:t>
      </w:r>
      <w:r w:rsidRPr="005B5CE3">
        <w:rPr>
          <w:rFonts w:eastAsia="仿宋_GB2312" w:hint="eastAsia"/>
          <w:color w:val="000000"/>
          <w:sz w:val="24"/>
        </w:rPr>
        <w:t>万元以上的设备、材料购置等，须提供项目采购合同予以确认，然后报省财政厅，由省财政（或国库）按照用款计划直接支付。</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第十条</w:t>
      </w:r>
      <w:r w:rsidRPr="005B5CE3">
        <w:rPr>
          <w:rFonts w:eastAsia="仿宋_GB2312" w:hint="eastAsia"/>
          <w:color w:val="000000"/>
          <w:sz w:val="24"/>
        </w:rPr>
        <w:t xml:space="preserve">  </w:t>
      </w:r>
      <w:r w:rsidRPr="005B5CE3">
        <w:rPr>
          <w:rFonts w:eastAsia="仿宋_GB2312" w:hint="eastAsia"/>
          <w:color w:val="000000"/>
          <w:sz w:val="24"/>
        </w:rPr>
        <w:t>专项经费原则上不得办理校内转账，但下列情况除外：</w:t>
      </w:r>
      <w:r w:rsidRPr="005B5CE3">
        <w:rPr>
          <w:rFonts w:eastAsia="仿宋_GB2312" w:hint="eastAsia"/>
          <w:color w:val="000000"/>
          <w:sz w:val="24"/>
        </w:rPr>
        <w:t>1</w:t>
      </w:r>
      <w:r w:rsidRPr="005B5CE3">
        <w:rPr>
          <w:rFonts w:eastAsia="仿宋_GB2312" w:hint="eastAsia"/>
          <w:b/>
          <w:color w:val="000000"/>
          <w:sz w:val="24"/>
        </w:rPr>
        <w:t>．</w:t>
      </w:r>
      <w:r w:rsidRPr="005B5CE3">
        <w:rPr>
          <w:rFonts w:eastAsia="仿宋_GB2312" w:hint="eastAsia"/>
          <w:color w:val="000000"/>
          <w:sz w:val="24"/>
        </w:rPr>
        <w:t>耗用学校的水电费，必须提供使用的水电费明细清单；</w:t>
      </w:r>
      <w:r w:rsidRPr="005B5CE3">
        <w:rPr>
          <w:rFonts w:eastAsia="仿宋_GB2312" w:hint="eastAsia"/>
          <w:color w:val="000000"/>
          <w:sz w:val="24"/>
        </w:rPr>
        <w:t>2</w:t>
      </w:r>
      <w:r w:rsidRPr="005B5CE3">
        <w:rPr>
          <w:rFonts w:eastAsia="仿宋_GB2312" w:hint="eastAsia"/>
          <w:b/>
          <w:color w:val="000000"/>
          <w:sz w:val="24"/>
        </w:rPr>
        <w:t>．</w:t>
      </w:r>
      <w:r w:rsidRPr="005B5CE3">
        <w:rPr>
          <w:rFonts w:eastAsia="仿宋_GB2312" w:hint="eastAsia"/>
          <w:color w:val="000000"/>
          <w:sz w:val="24"/>
        </w:rPr>
        <w:t>领用学校后勤集团试剂材料费，必须提供领用试剂材料的明细清单；</w:t>
      </w:r>
      <w:r w:rsidRPr="005B5CE3">
        <w:rPr>
          <w:rFonts w:eastAsia="仿宋_GB2312" w:hint="eastAsia"/>
          <w:color w:val="000000"/>
          <w:sz w:val="24"/>
        </w:rPr>
        <w:t>3</w:t>
      </w:r>
      <w:r w:rsidRPr="005B5CE3">
        <w:rPr>
          <w:rFonts w:eastAsia="仿宋_GB2312" w:hint="eastAsia"/>
          <w:b/>
          <w:color w:val="000000"/>
          <w:sz w:val="24"/>
        </w:rPr>
        <w:t>．</w:t>
      </w:r>
      <w:r w:rsidRPr="005B5CE3">
        <w:rPr>
          <w:rFonts w:eastAsia="仿宋_GB2312" w:hint="eastAsia"/>
          <w:color w:val="000000"/>
          <w:sz w:val="24"/>
        </w:rPr>
        <w:t>校内检验、测试费，必须提供分析、检验、测试业务委托协议书。</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第十一条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研究生劳务费实行定期集中发放的方式。各项</w:t>
      </w:r>
      <w:proofErr w:type="gramStart"/>
      <w:r w:rsidRPr="005B5CE3">
        <w:rPr>
          <w:rFonts w:eastAsia="仿宋_GB2312" w:hint="eastAsia"/>
          <w:color w:val="000000"/>
          <w:sz w:val="24"/>
        </w:rPr>
        <w:t>目单位</w:t>
      </w:r>
      <w:proofErr w:type="gramEnd"/>
      <w:r w:rsidRPr="005B5CE3">
        <w:rPr>
          <w:rFonts w:eastAsia="仿宋_GB2312" w:hint="eastAsia"/>
          <w:color w:val="000000"/>
          <w:sz w:val="24"/>
        </w:rPr>
        <w:t>应根据研究</w:t>
      </w:r>
      <w:r w:rsidRPr="005B5CE3">
        <w:rPr>
          <w:rFonts w:eastAsia="仿宋_GB2312" w:hint="eastAsia"/>
          <w:color w:val="000000"/>
          <w:sz w:val="24"/>
        </w:rPr>
        <w:lastRenderedPageBreak/>
        <w:t>生劳务费发放的相关管理规定及学科自身情况，明确研究生获得劳务费所应具备的条件，报项目管理办公室（设在发展规划与学科建设处）备案，各项目在每季度末</w:t>
      </w:r>
      <w:r w:rsidRPr="005B5CE3">
        <w:rPr>
          <w:rFonts w:eastAsia="仿宋_GB2312" w:hint="eastAsia"/>
          <w:color w:val="000000"/>
          <w:sz w:val="24"/>
        </w:rPr>
        <w:t>15</w:t>
      </w:r>
      <w:r w:rsidRPr="005B5CE3">
        <w:rPr>
          <w:rFonts w:eastAsia="仿宋_GB2312" w:hint="eastAsia"/>
          <w:color w:val="000000"/>
          <w:sz w:val="24"/>
        </w:rPr>
        <w:t>日前，将</w:t>
      </w:r>
      <w:proofErr w:type="gramStart"/>
      <w:r w:rsidRPr="005B5CE3">
        <w:rPr>
          <w:rFonts w:eastAsia="仿宋_GB2312" w:hint="eastAsia"/>
          <w:color w:val="000000"/>
          <w:sz w:val="24"/>
        </w:rPr>
        <w:t>省优势</w:t>
      </w:r>
      <w:proofErr w:type="gramEnd"/>
      <w:r w:rsidRPr="005B5CE3">
        <w:rPr>
          <w:rFonts w:eastAsia="仿宋_GB2312" w:hint="eastAsia"/>
          <w:color w:val="000000"/>
          <w:sz w:val="24"/>
        </w:rPr>
        <w:t>学科研究生劳务费发放清单报发展项目管理办公室审核，计财处根据核准的名单，当月直接将劳务费发放到研究生的银行卡中（具体细则见附件）。</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第十二条</w:t>
      </w:r>
      <w:r w:rsidRPr="005B5CE3">
        <w:rPr>
          <w:rFonts w:eastAsia="仿宋_GB2312" w:hint="eastAsia"/>
          <w:b/>
          <w:color w:val="000000"/>
          <w:sz w:val="24"/>
        </w:rPr>
        <w:t xml:space="preserve">  </w:t>
      </w:r>
      <w:r w:rsidRPr="005B5CE3">
        <w:rPr>
          <w:rFonts w:eastAsia="仿宋_GB2312" w:hint="eastAsia"/>
          <w:color w:val="000000"/>
          <w:sz w:val="24"/>
        </w:rPr>
        <w:t>项目单位派出教师、研究生出国访学、进修发生的费用，需经国际交流与合作处审核，支出标准按照《财政部</w:t>
      </w:r>
      <w:r w:rsidRPr="005B5CE3">
        <w:rPr>
          <w:rFonts w:eastAsia="仿宋_GB2312" w:hint="eastAsia"/>
          <w:color w:val="000000"/>
          <w:sz w:val="24"/>
        </w:rPr>
        <w:t xml:space="preserve"> </w:t>
      </w:r>
      <w:r w:rsidRPr="005B5CE3">
        <w:rPr>
          <w:rFonts w:eastAsia="仿宋_GB2312" w:hint="eastAsia"/>
          <w:color w:val="000000"/>
          <w:sz w:val="24"/>
        </w:rPr>
        <w:t>教育部关于调整国家公派留学人员奖学金资助标准的通知》（</w:t>
      </w:r>
      <w:proofErr w:type="gramStart"/>
      <w:r w:rsidRPr="005B5CE3">
        <w:rPr>
          <w:rFonts w:eastAsia="仿宋_GB2312" w:hint="eastAsia"/>
          <w:color w:val="000000"/>
          <w:sz w:val="24"/>
        </w:rPr>
        <w:t>财教〔</w:t>
      </w:r>
      <w:r w:rsidRPr="005B5CE3">
        <w:rPr>
          <w:rFonts w:eastAsia="仿宋_GB2312" w:hint="eastAsia"/>
          <w:color w:val="000000"/>
          <w:sz w:val="24"/>
        </w:rPr>
        <w:t>2010</w:t>
      </w:r>
      <w:r w:rsidRPr="005B5CE3">
        <w:rPr>
          <w:rFonts w:eastAsia="仿宋_GB2312" w:hint="eastAsia"/>
          <w:color w:val="000000"/>
          <w:sz w:val="24"/>
        </w:rPr>
        <w:t>〕</w:t>
      </w:r>
      <w:proofErr w:type="gramEnd"/>
      <w:r w:rsidRPr="005B5CE3">
        <w:rPr>
          <w:rFonts w:eastAsia="仿宋_GB2312" w:hint="eastAsia"/>
          <w:color w:val="000000"/>
          <w:sz w:val="24"/>
        </w:rPr>
        <w:t>286</w:t>
      </w:r>
      <w:r w:rsidRPr="005B5CE3">
        <w:rPr>
          <w:rFonts w:eastAsia="仿宋_GB2312" w:hint="eastAsia"/>
          <w:color w:val="000000"/>
          <w:sz w:val="24"/>
        </w:rPr>
        <w:t>号）文件执行。</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第十三条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高层次引进人才的安家费支出，各项</w:t>
      </w:r>
      <w:proofErr w:type="gramStart"/>
      <w:r w:rsidRPr="005B5CE3">
        <w:rPr>
          <w:rFonts w:eastAsia="仿宋_GB2312" w:hint="eastAsia"/>
          <w:color w:val="000000"/>
          <w:sz w:val="24"/>
        </w:rPr>
        <w:t>目单位</w:t>
      </w:r>
      <w:proofErr w:type="gramEnd"/>
      <w:r w:rsidRPr="005B5CE3">
        <w:rPr>
          <w:rFonts w:eastAsia="仿宋_GB2312" w:hint="eastAsia"/>
          <w:color w:val="000000"/>
          <w:sz w:val="24"/>
        </w:rPr>
        <w:t>需与引进人才签订具体的工作合同，明确资助金额，引进人才根据工作合同支取相关费用。</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第十四条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优势学科建设工程项目专项资金使用中涉及设备采购、维修等政府采购项目的，按照政府采购及我校招投标程序管理有关规定执行。大型仪器设备采购符合《江苏省省级新购大型科学仪器设备联合评议工作管理办法（试行）》（</w:t>
      </w:r>
      <w:proofErr w:type="gramStart"/>
      <w:r w:rsidRPr="005B5CE3">
        <w:rPr>
          <w:rFonts w:eastAsia="仿宋_GB2312" w:hint="eastAsia"/>
          <w:color w:val="000000"/>
          <w:sz w:val="24"/>
        </w:rPr>
        <w:t>苏财教〔</w:t>
      </w:r>
      <w:r w:rsidRPr="005B5CE3">
        <w:rPr>
          <w:rFonts w:eastAsia="仿宋_GB2312" w:hint="eastAsia"/>
          <w:color w:val="000000"/>
          <w:sz w:val="24"/>
        </w:rPr>
        <w:t>2005</w:t>
      </w:r>
      <w:r w:rsidRPr="005B5CE3">
        <w:rPr>
          <w:rFonts w:eastAsia="仿宋_GB2312" w:hint="eastAsia"/>
          <w:color w:val="000000"/>
          <w:sz w:val="24"/>
        </w:rPr>
        <w:t>〕</w:t>
      </w:r>
      <w:proofErr w:type="gramEnd"/>
      <w:r w:rsidRPr="005B5CE3">
        <w:rPr>
          <w:rFonts w:eastAsia="仿宋_GB2312" w:hint="eastAsia"/>
          <w:color w:val="000000"/>
          <w:sz w:val="24"/>
        </w:rPr>
        <w:t>86</w:t>
      </w:r>
      <w:r w:rsidRPr="005B5CE3">
        <w:rPr>
          <w:rFonts w:eastAsia="仿宋_GB2312" w:hint="eastAsia"/>
          <w:color w:val="000000"/>
          <w:sz w:val="24"/>
        </w:rPr>
        <w:t>号）规定的，按其规定执行。</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第十五条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计财处有权拒绝以下项目资金支付：</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（一）不符合国库集中支付规定的支出；</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（二）审批手续不全的支出；</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（三）与项目无关的支出；</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（四）不符合项目支出预算的支出；</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（五）原始凭证不合法或不真实的支出；</w:t>
      </w:r>
    </w:p>
    <w:p w:rsidR="00192CAB" w:rsidRPr="005B5CE3" w:rsidRDefault="00192CAB" w:rsidP="00192CAB">
      <w:pPr>
        <w:spacing w:line="400" w:lineRule="atLeast"/>
        <w:ind w:firstLineChars="200" w:firstLine="480"/>
        <w:rPr>
          <w:rFonts w:eastAsia="仿宋_GB2312" w:hint="eastAsia"/>
          <w:color w:val="000000"/>
          <w:sz w:val="24"/>
        </w:rPr>
      </w:pPr>
      <w:r w:rsidRPr="005B5CE3">
        <w:rPr>
          <w:rFonts w:eastAsia="仿宋_GB2312" w:hint="eastAsia"/>
          <w:color w:val="000000"/>
          <w:sz w:val="24"/>
        </w:rPr>
        <w:t>（六）擅自扩大支出范围或提高开支标准的支出。</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第十六条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各项</w:t>
      </w:r>
      <w:proofErr w:type="gramStart"/>
      <w:r w:rsidRPr="005B5CE3">
        <w:rPr>
          <w:rFonts w:eastAsia="仿宋_GB2312" w:hint="eastAsia"/>
          <w:color w:val="000000"/>
          <w:sz w:val="24"/>
        </w:rPr>
        <w:t>目应当</w:t>
      </w:r>
      <w:proofErr w:type="gramEnd"/>
      <w:r w:rsidRPr="005B5CE3">
        <w:rPr>
          <w:rFonts w:eastAsia="仿宋_GB2312" w:hint="eastAsia"/>
          <w:color w:val="000000"/>
          <w:sz w:val="24"/>
        </w:rPr>
        <w:t>强化预算约束，严格按照下达的专项资金预算及本办法规定的经费开支范围办理支出，并建立健全各种费用开支的原始资料登记和材料消耗、统计盘点制度，做好预算与财务管理的各项基础性工作。</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第十七条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优势学科建设工程项目专项资金年度结存资金，结转下一年度按规定继续使用。项目结束或项目因故终止的结余资金，按原渠道收回。</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第十八条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优势学科建设工程项目专项资金形成的固定资产和知识产权等无形资产的管理和使用，按国家有关规定执行。专项资金形成的仪器设备、科学数据、自然科技资源等，按照国家有关规定开放共享，提高利用效率。</w:t>
      </w:r>
    </w:p>
    <w:p w:rsidR="00192CAB" w:rsidRPr="005B5CE3" w:rsidRDefault="00192CAB" w:rsidP="00192CAB">
      <w:pPr>
        <w:pStyle w:val="3"/>
        <w:rPr>
          <w:rFonts w:hint="eastAsia"/>
        </w:rPr>
      </w:pPr>
      <w:bookmarkStart w:id="12" w:name="_Toc335749241"/>
      <w:r w:rsidRPr="005B5CE3">
        <w:rPr>
          <w:rFonts w:hint="eastAsia"/>
        </w:rPr>
        <w:t>第五章</w:t>
      </w:r>
      <w:r w:rsidRPr="005B5CE3">
        <w:rPr>
          <w:rFonts w:hint="eastAsia"/>
        </w:rPr>
        <w:t xml:space="preserve">  </w:t>
      </w:r>
      <w:r w:rsidRPr="005B5CE3">
        <w:rPr>
          <w:rFonts w:hint="eastAsia"/>
        </w:rPr>
        <w:t>项目经费的预算决算</w:t>
      </w:r>
      <w:bookmarkEnd w:id="12"/>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第十九条</w:t>
      </w:r>
      <w:r w:rsidRPr="005B5CE3">
        <w:rPr>
          <w:rFonts w:eastAsia="仿宋_GB2312" w:hint="eastAsia"/>
          <w:b/>
          <w:color w:val="000000"/>
          <w:sz w:val="24"/>
        </w:rPr>
        <w:t xml:space="preserve">  </w:t>
      </w:r>
      <w:r w:rsidRPr="005B5CE3">
        <w:rPr>
          <w:rFonts w:eastAsia="仿宋_GB2312" w:hint="eastAsia"/>
          <w:color w:val="000000"/>
          <w:sz w:val="24"/>
        </w:rPr>
        <w:t>在申请立项、编制项目申报材料的同时，项目负责人应按照相关项目管理办法认真编制项目经费预算。项目预算的编制应当根据项目研究的合理需要，坚持目标相关性、政策相符性和经济合理性原则。</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lastRenderedPageBreak/>
        <w:t>第二十条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项目预算要求同时编制经费来源预算和经费支出预算。经费来源预算包括用于同一项目的各种不同渠道的经费，经费支出预算包括与项目实施有关的所有费用。支出预算应当按照项目开支范围确定的支出科目和不同经费来源进行编制。</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第二十一条</w:t>
      </w:r>
      <w:r w:rsidRPr="005B5CE3">
        <w:rPr>
          <w:rFonts w:eastAsia="仿宋_GB2312" w:hint="eastAsia"/>
          <w:b/>
          <w:color w:val="000000"/>
          <w:sz w:val="24"/>
        </w:rPr>
        <w:t xml:space="preserve">  </w:t>
      </w:r>
      <w:r w:rsidRPr="005B5CE3">
        <w:rPr>
          <w:rFonts w:eastAsia="仿宋_GB2312" w:hint="eastAsia"/>
          <w:color w:val="000000"/>
          <w:sz w:val="24"/>
        </w:rPr>
        <w:t>在受理项目申请时，发展规划与学科建设处、计财处应按照有关规定严格审核项目经费预算，并按要求进行报批和归档。</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第二十二条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经批准的项目经费预算是项目经费开支、监督检查和财务验收的依据，项目预算一经核定，必须严格依照预算执行，原则上不予调整。确有必要调整的，各子项可以在不超过</w:t>
      </w:r>
      <w:r w:rsidRPr="005B5CE3">
        <w:rPr>
          <w:rFonts w:eastAsia="仿宋_GB2312" w:hint="eastAsia"/>
          <w:color w:val="000000"/>
          <w:sz w:val="24"/>
        </w:rPr>
        <w:t>10%</w:t>
      </w:r>
      <w:r w:rsidRPr="005B5CE3">
        <w:rPr>
          <w:rFonts w:eastAsia="仿宋_GB2312" w:hint="eastAsia"/>
          <w:color w:val="000000"/>
          <w:sz w:val="24"/>
        </w:rPr>
        <w:t>（含）的幅度内调整，预算调整须报项目管理办公室批准后方能执行；预算调整超过</w:t>
      </w:r>
      <w:r w:rsidRPr="005B5CE3">
        <w:rPr>
          <w:rFonts w:eastAsia="仿宋_GB2312" w:hint="eastAsia"/>
          <w:color w:val="000000"/>
          <w:sz w:val="24"/>
        </w:rPr>
        <w:t>10%</w:t>
      </w:r>
      <w:r w:rsidRPr="005B5CE3">
        <w:rPr>
          <w:rFonts w:eastAsia="仿宋_GB2312" w:hint="eastAsia"/>
          <w:color w:val="000000"/>
          <w:sz w:val="24"/>
        </w:rPr>
        <w:t>的，应按审批程序重新报江苏高校优势学科建设工程管理协调小组批准。</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第二十三条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各项目应根据项目经费管理办法的要求和规定，严格按照计财处提供的项目财务明细账目实事求是编报项目经费中期决算表和年度决算表，并对项目决算的真实性、准确性负责，计财处予以指导和审查。</w:t>
      </w:r>
      <w:proofErr w:type="gramStart"/>
      <w:r w:rsidRPr="005B5CE3">
        <w:rPr>
          <w:rFonts w:eastAsia="仿宋_GB2312" w:hint="eastAsia"/>
          <w:color w:val="000000"/>
          <w:sz w:val="24"/>
        </w:rPr>
        <w:t>各项目于每年</w:t>
      </w:r>
      <w:r w:rsidRPr="005B5CE3">
        <w:rPr>
          <w:rFonts w:eastAsia="仿宋_GB2312" w:hint="eastAsia"/>
          <w:color w:val="000000"/>
          <w:sz w:val="24"/>
        </w:rPr>
        <w:t>7</w:t>
      </w:r>
      <w:r w:rsidRPr="005B5CE3">
        <w:rPr>
          <w:rFonts w:eastAsia="仿宋_GB2312" w:hint="eastAsia"/>
          <w:color w:val="000000"/>
          <w:sz w:val="24"/>
        </w:rPr>
        <w:t>月</w:t>
      </w:r>
      <w:r w:rsidRPr="005B5CE3">
        <w:rPr>
          <w:rFonts w:eastAsia="仿宋_GB2312" w:hint="eastAsia"/>
          <w:color w:val="000000"/>
          <w:sz w:val="24"/>
        </w:rPr>
        <w:t>15</w:t>
      </w:r>
      <w:r w:rsidRPr="005B5CE3">
        <w:rPr>
          <w:rFonts w:eastAsia="仿宋_GB2312" w:hint="eastAsia"/>
          <w:color w:val="000000"/>
          <w:sz w:val="24"/>
        </w:rPr>
        <w:t>日</w:t>
      </w:r>
      <w:proofErr w:type="gramEnd"/>
      <w:r w:rsidRPr="005B5CE3">
        <w:rPr>
          <w:rFonts w:eastAsia="仿宋_GB2312" w:hint="eastAsia"/>
          <w:color w:val="000000"/>
          <w:sz w:val="24"/>
        </w:rPr>
        <w:t>和</w:t>
      </w:r>
      <w:smartTag w:uri="urn:schemas-microsoft-com:office:smarttags" w:element="chsdate">
        <w:smartTagPr>
          <w:attr w:name="Year" w:val="2012"/>
          <w:attr w:name="Month" w:val="1"/>
          <w:attr w:name="Day" w:val="15"/>
          <w:attr w:name="IsLunarDate" w:val="False"/>
          <w:attr w:name="IsROCDate" w:val="False"/>
        </w:smartTagPr>
        <w:r w:rsidRPr="005B5CE3">
          <w:rPr>
            <w:rFonts w:eastAsia="仿宋_GB2312" w:hint="eastAsia"/>
            <w:color w:val="000000"/>
            <w:sz w:val="24"/>
          </w:rPr>
          <w:t>1</w:t>
        </w:r>
        <w:r w:rsidRPr="005B5CE3">
          <w:rPr>
            <w:rFonts w:eastAsia="仿宋_GB2312" w:hint="eastAsia"/>
            <w:color w:val="000000"/>
            <w:sz w:val="24"/>
          </w:rPr>
          <w:t>月</w:t>
        </w:r>
        <w:r w:rsidRPr="005B5CE3">
          <w:rPr>
            <w:rFonts w:eastAsia="仿宋_GB2312" w:hint="eastAsia"/>
            <w:color w:val="000000"/>
            <w:sz w:val="24"/>
          </w:rPr>
          <w:t>15</w:t>
        </w:r>
        <w:r w:rsidRPr="005B5CE3">
          <w:rPr>
            <w:rFonts w:eastAsia="仿宋_GB2312" w:hint="eastAsia"/>
            <w:color w:val="000000"/>
            <w:sz w:val="24"/>
          </w:rPr>
          <w:t>日前</w:t>
        </w:r>
      </w:smartTag>
      <w:r w:rsidRPr="005B5CE3">
        <w:rPr>
          <w:rFonts w:eastAsia="仿宋_GB2312" w:hint="eastAsia"/>
          <w:color w:val="000000"/>
          <w:sz w:val="24"/>
        </w:rPr>
        <w:t>将相关报表报送发展规划与学科建设处，同时抄送学校该专项资金跟踪审计小组审核，再统一报上级部门。</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第二十四条</w:t>
      </w:r>
      <w:r w:rsidRPr="005B5CE3">
        <w:rPr>
          <w:rFonts w:eastAsia="仿宋_GB2312" w:hint="eastAsia"/>
          <w:b/>
          <w:color w:val="000000"/>
          <w:sz w:val="24"/>
        </w:rPr>
        <w:t xml:space="preserve">  </w:t>
      </w:r>
      <w:proofErr w:type="gramStart"/>
      <w:r w:rsidRPr="005B5CE3">
        <w:rPr>
          <w:rFonts w:eastAsia="仿宋_GB2312" w:hint="eastAsia"/>
          <w:color w:val="000000"/>
          <w:sz w:val="24"/>
        </w:rPr>
        <w:t>各项目需于</w:t>
      </w:r>
      <w:proofErr w:type="gramEnd"/>
      <w:r w:rsidRPr="005B5CE3">
        <w:rPr>
          <w:rFonts w:eastAsia="仿宋_GB2312" w:hint="eastAsia"/>
          <w:color w:val="000000"/>
          <w:sz w:val="24"/>
        </w:rPr>
        <w:t>每季度末</w:t>
      </w:r>
      <w:r w:rsidRPr="005B5CE3">
        <w:rPr>
          <w:rFonts w:eastAsia="仿宋_GB2312" w:hint="eastAsia"/>
          <w:color w:val="000000"/>
          <w:sz w:val="24"/>
        </w:rPr>
        <w:t>15</w:t>
      </w:r>
      <w:r w:rsidRPr="005B5CE3">
        <w:rPr>
          <w:rFonts w:eastAsia="仿宋_GB2312" w:hint="eastAsia"/>
          <w:color w:val="000000"/>
          <w:sz w:val="24"/>
        </w:rPr>
        <w:t>日前，将上季度专项资金使用情况和专项资金支付申请明细表报送发展规划与学科建设处，统一上报省教育厅、财政厅。</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第二十五条</w:t>
      </w:r>
      <w:r w:rsidRPr="005B5CE3">
        <w:rPr>
          <w:rFonts w:eastAsia="仿宋_GB2312" w:hint="eastAsia"/>
          <w:b/>
          <w:color w:val="000000"/>
          <w:sz w:val="24"/>
        </w:rPr>
        <w:t xml:space="preserve">  </w:t>
      </w:r>
      <w:r w:rsidRPr="005B5CE3">
        <w:rPr>
          <w:rFonts w:eastAsia="仿宋_GB2312" w:hint="eastAsia"/>
          <w:color w:val="000000"/>
          <w:sz w:val="24"/>
        </w:rPr>
        <w:t>财务验收是进行项目验收的前提。项目结束后，项目负责人应会同计财处清理账目和资产，根据批复的项目经费预算，如实编报项目经费决算表，由发展规划与学科建设处和计财处审核签署意见并盖章，需要审计的由审计部门审计签署意见并盖章后，根据要求报送归口管理部门并归档。</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第二十六条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对于准备验收的项目，项目负责人应全面审核经费收支情况，清理应收应付等款项。暂付款尚未付清的，应在验收之前全部报销或归还。项目尚有未</w:t>
      </w:r>
      <w:proofErr w:type="gramStart"/>
      <w:r w:rsidRPr="005B5CE3">
        <w:rPr>
          <w:rFonts w:eastAsia="仿宋_GB2312" w:hint="eastAsia"/>
          <w:color w:val="000000"/>
          <w:sz w:val="24"/>
        </w:rPr>
        <w:t>付账款</w:t>
      </w:r>
      <w:proofErr w:type="gramEnd"/>
      <w:r w:rsidRPr="005B5CE3">
        <w:rPr>
          <w:rFonts w:eastAsia="仿宋_GB2312" w:hint="eastAsia"/>
          <w:color w:val="000000"/>
          <w:sz w:val="24"/>
        </w:rPr>
        <w:t>的，应预留款项并在项目决算表中加以说明。</w:t>
      </w:r>
    </w:p>
    <w:p w:rsidR="00192CAB" w:rsidRPr="005B5CE3" w:rsidRDefault="00192CAB" w:rsidP="00192CAB">
      <w:pPr>
        <w:pStyle w:val="3"/>
        <w:rPr>
          <w:rFonts w:hint="eastAsia"/>
        </w:rPr>
      </w:pPr>
      <w:bookmarkStart w:id="13" w:name="_Toc335749242"/>
      <w:r w:rsidRPr="005B5CE3">
        <w:rPr>
          <w:rFonts w:hint="eastAsia"/>
        </w:rPr>
        <w:t>第六章</w:t>
      </w:r>
      <w:r w:rsidRPr="005B5CE3">
        <w:rPr>
          <w:rFonts w:hint="eastAsia"/>
        </w:rPr>
        <w:t xml:space="preserve">  </w:t>
      </w:r>
      <w:r w:rsidRPr="005B5CE3">
        <w:rPr>
          <w:rFonts w:hint="eastAsia"/>
        </w:rPr>
        <w:t>监督检查</w:t>
      </w:r>
      <w:bookmarkEnd w:id="13"/>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第二十七条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按照上级主管部门对专项资金的管理要求，每个项目在执行过程中要严格遵守国家财经纪律，自觉接受财政、审计等相关部门的监督和检查。</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第二十八条</w:t>
      </w:r>
      <w:r w:rsidRPr="005B5CE3">
        <w:rPr>
          <w:rFonts w:eastAsia="仿宋_GB2312" w:hint="eastAsia"/>
          <w:b/>
          <w:color w:val="000000"/>
          <w:sz w:val="24"/>
        </w:rPr>
        <w:t xml:space="preserve">  </w:t>
      </w:r>
      <w:r w:rsidRPr="005B5CE3">
        <w:rPr>
          <w:rFonts w:eastAsia="仿宋_GB2312" w:hint="eastAsia"/>
          <w:color w:val="000000"/>
          <w:sz w:val="24"/>
        </w:rPr>
        <w:t>对专项资金实行全程监督管理，</w:t>
      </w:r>
      <w:proofErr w:type="gramStart"/>
      <w:r w:rsidRPr="005B5CE3">
        <w:rPr>
          <w:rFonts w:eastAsia="仿宋_GB2312" w:hint="eastAsia"/>
          <w:color w:val="000000"/>
          <w:sz w:val="24"/>
        </w:rPr>
        <w:t>校发展</w:t>
      </w:r>
      <w:proofErr w:type="gramEnd"/>
      <w:r w:rsidRPr="005B5CE3">
        <w:rPr>
          <w:rFonts w:eastAsia="仿宋_GB2312" w:hint="eastAsia"/>
          <w:color w:val="000000"/>
          <w:sz w:val="24"/>
        </w:rPr>
        <w:t>规划与学科建设处、计财处负责日常监督与管理，校审计处对专项资金项目采取跟踪审计方式，在项目不同阶段进行事前、事中、事后审计监督，各专项资金项目单位应与配合，及时提供专项资金申报立项、经费预算、经费申请、经费使用、预算执行、物资采购、</w:t>
      </w:r>
      <w:r w:rsidRPr="005B5CE3">
        <w:rPr>
          <w:rFonts w:eastAsia="仿宋_GB2312" w:hint="eastAsia"/>
          <w:color w:val="000000"/>
          <w:sz w:val="24"/>
        </w:rPr>
        <w:lastRenderedPageBreak/>
        <w:t>财务决算等相关资料，由审计处开展审计，出具内部审计报告。</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第二十九条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江苏省教育厅将结合项目进度，对专项资金进行抽查，江苏省审计厅将对项目进行重点审计。</w:t>
      </w:r>
    </w:p>
    <w:p w:rsidR="00192CAB" w:rsidRPr="005B5CE3" w:rsidRDefault="00192CAB" w:rsidP="00192CAB">
      <w:pPr>
        <w:pStyle w:val="3"/>
        <w:rPr>
          <w:rFonts w:hint="eastAsia"/>
        </w:rPr>
      </w:pPr>
      <w:bookmarkStart w:id="14" w:name="_Toc335749243"/>
      <w:r w:rsidRPr="005B5CE3">
        <w:rPr>
          <w:rFonts w:hint="eastAsia"/>
        </w:rPr>
        <w:t>第七章</w:t>
      </w:r>
      <w:r w:rsidRPr="005B5CE3">
        <w:rPr>
          <w:rFonts w:hint="eastAsia"/>
        </w:rPr>
        <w:t xml:space="preserve">  </w:t>
      </w:r>
      <w:r w:rsidRPr="005B5CE3">
        <w:rPr>
          <w:rFonts w:hint="eastAsia"/>
        </w:rPr>
        <w:t>附</w:t>
      </w:r>
      <w:r w:rsidRPr="005B5CE3">
        <w:rPr>
          <w:rFonts w:hint="eastAsia"/>
        </w:rPr>
        <w:t xml:space="preserve"> </w:t>
      </w:r>
      <w:r w:rsidRPr="005B5CE3">
        <w:rPr>
          <w:rFonts w:hint="eastAsia"/>
        </w:rPr>
        <w:t>则</w:t>
      </w:r>
      <w:bookmarkEnd w:id="14"/>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第三十条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项目自筹资金以及地方政府、关联行业、企事业单位安排的其他渠道资金参照本办法进行管理。</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第三十一条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本办法由计财处、发展规划与学科建设处负责解释。</w:t>
      </w:r>
    </w:p>
    <w:p w:rsidR="00192CAB" w:rsidRPr="005B5CE3" w:rsidRDefault="00192CAB" w:rsidP="00192CAB">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第三十二条</w:t>
      </w:r>
      <w:r w:rsidRPr="005B5CE3">
        <w:rPr>
          <w:rFonts w:eastAsia="仿宋_GB2312" w:hint="eastAsia"/>
          <w:b/>
          <w:color w:val="000000"/>
          <w:sz w:val="24"/>
        </w:rPr>
        <w:t xml:space="preserve">  </w:t>
      </w:r>
      <w:r w:rsidRPr="005B5CE3">
        <w:rPr>
          <w:rFonts w:eastAsia="仿宋_GB2312" w:hint="eastAsia"/>
          <w:color w:val="000000"/>
          <w:sz w:val="24"/>
        </w:rPr>
        <w:t>本办法自发布之日起施行。</w:t>
      </w:r>
    </w:p>
    <w:p w:rsidR="00192CAB" w:rsidRPr="005B5CE3" w:rsidRDefault="00192CAB" w:rsidP="00192CAB">
      <w:pPr>
        <w:spacing w:line="400" w:lineRule="atLeast"/>
        <w:ind w:firstLineChars="200" w:firstLine="480"/>
        <w:rPr>
          <w:rFonts w:eastAsia="仿宋_GB2312" w:hint="eastAsia"/>
          <w:color w:val="000000"/>
          <w:sz w:val="24"/>
        </w:rPr>
      </w:pPr>
    </w:p>
    <w:p w:rsidR="00B83E37" w:rsidRPr="00192CAB" w:rsidRDefault="00B83E37"/>
    <w:sectPr w:rsidR="00B83E37" w:rsidRPr="00192C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3F" w:rsidRDefault="00CA743F" w:rsidP="00192CAB">
      <w:r>
        <w:separator/>
      </w:r>
    </w:p>
  </w:endnote>
  <w:endnote w:type="continuationSeparator" w:id="0">
    <w:p w:rsidR="00CA743F" w:rsidRDefault="00CA743F" w:rsidP="0019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3F" w:rsidRDefault="00CA743F" w:rsidP="00192CAB">
      <w:r>
        <w:separator/>
      </w:r>
    </w:p>
  </w:footnote>
  <w:footnote w:type="continuationSeparator" w:id="0">
    <w:p w:rsidR="00CA743F" w:rsidRDefault="00CA743F" w:rsidP="00192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45"/>
    <w:rsid w:val="00192CAB"/>
    <w:rsid w:val="00A95845"/>
    <w:rsid w:val="00B83E37"/>
    <w:rsid w:val="00CA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AB"/>
    <w:pPr>
      <w:widowControl w:val="0"/>
      <w:jc w:val="both"/>
    </w:pPr>
    <w:rPr>
      <w:rFonts w:ascii="Times New Roman" w:eastAsia="宋体" w:hAnsi="Times New Roman" w:cs="Times New Roman"/>
      <w:szCs w:val="24"/>
    </w:rPr>
  </w:style>
  <w:style w:type="paragraph" w:styleId="1">
    <w:name w:val="heading 1"/>
    <w:basedOn w:val="a"/>
    <w:link w:val="1Char"/>
    <w:qFormat/>
    <w:rsid w:val="00192CAB"/>
    <w:pPr>
      <w:widowControl/>
      <w:spacing w:beforeLines="50" w:before="156" w:afterLines="50" w:after="156"/>
      <w:jc w:val="center"/>
      <w:outlineLvl w:val="0"/>
    </w:pPr>
    <w:rPr>
      <w:rFonts w:eastAsia="黑体"/>
      <w:bCs/>
      <w:color w:val="000000"/>
      <w:kern w:val="36"/>
      <w:sz w:val="36"/>
      <w:szCs w:val="48"/>
    </w:rPr>
  </w:style>
  <w:style w:type="paragraph" w:styleId="3">
    <w:name w:val="heading 3"/>
    <w:basedOn w:val="a"/>
    <w:next w:val="a"/>
    <w:link w:val="3Char"/>
    <w:qFormat/>
    <w:rsid w:val="00192CAB"/>
    <w:pPr>
      <w:keepNext/>
      <w:keepLines/>
      <w:spacing w:before="240" w:after="120"/>
      <w:jc w:val="center"/>
      <w:outlineLvl w:val="2"/>
    </w:pPr>
    <w:rPr>
      <w:rFonts w:eastAsia="黑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C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2CAB"/>
    <w:rPr>
      <w:sz w:val="18"/>
      <w:szCs w:val="18"/>
    </w:rPr>
  </w:style>
  <w:style w:type="paragraph" w:styleId="a4">
    <w:name w:val="footer"/>
    <w:basedOn w:val="a"/>
    <w:link w:val="Char0"/>
    <w:uiPriority w:val="99"/>
    <w:unhideWhenUsed/>
    <w:rsid w:val="00192C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2CAB"/>
    <w:rPr>
      <w:sz w:val="18"/>
      <w:szCs w:val="18"/>
    </w:rPr>
  </w:style>
  <w:style w:type="character" w:customStyle="1" w:styleId="1Char">
    <w:name w:val="标题 1 Char"/>
    <w:basedOn w:val="a0"/>
    <w:link w:val="1"/>
    <w:rsid w:val="00192CAB"/>
    <w:rPr>
      <w:rFonts w:ascii="Times New Roman" w:eastAsia="黑体" w:hAnsi="Times New Roman" w:cs="Times New Roman"/>
      <w:bCs/>
      <w:color w:val="000000"/>
      <w:kern w:val="36"/>
      <w:sz w:val="36"/>
      <w:szCs w:val="48"/>
    </w:rPr>
  </w:style>
  <w:style w:type="character" w:customStyle="1" w:styleId="3Char">
    <w:name w:val="标题 3 Char"/>
    <w:basedOn w:val="a0"/>
    <w:link w:val="3"/>
    <w:rsid w:val="00192CAB"/>
    <w:rPr>
      <w:rFonts w:ascii="Times New Roman" w:eastAsia="黑体" w:hAnsi="Times New Roman" w:cs="Times New Roman"/>
      <w:bCs/>
      <w:color w:val="000000"/>
      <w:kern w:val="0"/>
      <w:sz w:val="28"/>
      <w:szCs w:val="28"/>
    </w:rPr>
  </w:style>
  <w:style w:type="character" w:styleId="a5">
    <w:name w:val="Strong"/>
    <w:basedOn w:val="a0"/>
    <w:qFormat/>
    <w:rsid w:val="00192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AB"/>
    <w:pPr>
      <w:widowControl w:val="0"/>
      <w:jc w:val="both"/>
    </w:pPr>
    <w:rPr>
      <w:rFonts w:ascii="Times New Roman" w:eastAsia="宋体" w:hAnsi="Times New Roman" w:cs="Times New Roman"/>
      <w:szCs w:val="24"/>
    </w:rPr>
  </w:style>
  <w:style w:type="paragraph" w:styleId="1">
    <w:name w:val="heading 1"/>
    <w:basedOn w:val="a"/>
    <w:link w:val="1Char"/>
    <w:qFormat/>
    <w:rsid w:val="00192CAB"/>
    <w:pPr>
      <w:widowControl/>
      <w:spacing w:beforeLines="50" w:before="156" w:afterLines="50" w:after="156"/>
      <w:jc w:val="center"/>
      <w:outlineLvl w:val="0"/>
    </w:pPr>
    <w:rPr>
      <w:rFonts w:eastAsia="黑体"/>
      <w:bCs/>
      <w:color w:val="000000"/>
      <w:kern w:val="36"/>
      <w:sz w:val="36"/>
      <w:szCs w:val="48"/>
    </w:rPr>
  </w:style>
  <w:style w:type="paragraph" w:styleId="3">
    <w:name w:val="heading 3"/>
    <w:basedOn w:val="a"/>
    <w:next w:val="a"/>
    <w:link w:val="3Char"/>
    <w:qFormat/>
    <w:rsid w:val="00192CAB"/>
    <w:pPr>
      <w:keepNext/>
      <w:keepLines/>
      <w:spacing w:before="240" w:after="120"/>
      <w:jc w:val="center"/>
      <w:outlineLvl w:val="2"/>
    </w:pPr>
    <w:rPr>
      <w:rFonts w:eastAsia="黑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C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2CAB"/>
    <w:rPr>
      <w:sz w:val="18"/>
      <w:szCs w:val="18"/>
    </w:rPr>
  </w:style>
  <w:style w:type="paragraph" w:styleId="a4">
    <w:name w:val="footer"/>
    <w:basedOn w:val="a"/>
    <w:link w:val="Char0"/>
    <w:uiPriority w:val="99"/>
    <w:unhideWhenUsed/>
    <w:rsid w:val="00192C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2CAB"/>
    <w:rPr>
      <w:sz w:val="18"/>
      <w:szCs w:val="18"/>
    </w:rPr>
  </w:style>
  <w:style w:type="character" w:customStyle="1" w:styleId="1Char">
    <w:name w:val="标题 1 Char"/>
    <w:basedOn w:val="a0"/>
    <w:link w:val="1"/>
    <w:rsid w:val="00192CAB"/>
    <w:rPr>
      <w:rFonts w:ascii="Times New Roman" w:eastAsia="黑体" w:hAnsi="Times New Roman" w:cs="Times New Roman"/>
      <w:bCs/>
      <w:color w:val="000000"/>
      <w:kern w:val="36"/>
      <w:sz w:val="36"/>
      <w:szCs w:val="48"/>
    </w:rPr>
  </w:style>
  <w:style w:type="character" w:customStyle="1" w:styleId="3Char">
    <w:name w:val="标题 3 Char"/>
    <w:basedOn w:val="a0"/>
    <w:link w:val="3"/>
    <w:rsid w:val="00192CAB"/>
    <w:rPr>
      <w:rFonts w:ascii="Times New Roman" w:eastAsia="黑体" w:hAnsi="Times New Roman" w:cs="Times New Roman"/>
      <w:bCs/>
      <w:color w:val="000000"/>
      <w:kern w:val="0"/>
      <w:sz w:val="28"/>
      <w:szCs w:val="28"/>
    </w:rPr>
  </w:style>
  <w:style w:type="character" w:styleId="a5">
    <w:name w:val="Strong"/>
    <w:basedOn w:val="a0"/>
    <w:qFormat/>
    <w:rsid w:val="00192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722</Words>
  <Characters>4121</Characters>
  <Application>Microsoft Office Word</Application>
  <DocSecurity>0</DocSecurity>
  <Lines>34</Lines>
  <Paragraphs>9</Paragraphs>
  <ScaleCrop>false</ScaleCrop>
  <Company>Lenovo (Beijing) Limited</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JICC</dc:creator>
  <cp:keywords/>
  <dc:description/>
  <cp:lastModifiedBy>JICC</cp:lastModifiedBy>
  <cp:revision>2</cp:revision>
  <dcterms:created xsi:type="dcterms:W3CDTF">2014-05-09T07:49:00Z</dcterms:created>
  <dcterms:modified xsi:type="dcterms:W3CDTF">2014-05-09T07:49:00Z</dcterms:modified>
</cp:coreProperties>
</file>