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6"/>
          <w:szCs w:val="32"/>
        </w:rPr>
      </w:pPr>
      <w:r>
        <w:rPr>
          <w:rFonts w:hint="eastAsia" w:ascii="华文中宋" w:hAnsi="华文中宋" w:eastAsia="华文中宋" w:cs="华文中宋"/>
          <w:b/>
          <w:sz w:val="36"/>
          <w:szCs w:val="32"/>
        </w:rPr>
        <w:t>南京农业大学差旅费</w:t>
      </w:r>
      <w:r>
        <w:rPr>
          <w:rFonts w:hint="eastAsia" w:ascii="华文中宋" w:hAnsi="华文中宋" w:eastAsia="华文中宋" w:cs="华文中宋"/>
          <w:b/>
          <w:sz w:val="36"/>
          <w:szCs w:val="32"/>
          <w:lang w:eastAsia="zh-CN"/>
        </w:rPr>
        <w:t>管理暂行办法</w:t>
      </w:r>
    </w:p>
    <w:p>
      <w:pPr>
        <w:pStyle w:val="2"/>
        <w:rPr>
          <w:rFonts w:hint="eastAsia"/>
        </w:rPr>
      </w:pPr>
      <w:r>
        <w:rPr>
          <w:rFonts w:hint="eastAsia"/>
          <w:lang w:eastAsia="zh-CN"/>
        </w:rPr>
        <w:t>第一章</w:t>
      </w:r>
      <w:r>
        <w:rPr>
          <w:rFonts w:hint="eastAsia"/>
        </w:rPr>
        <w:t xml:space="preserve"> </w:t>
      </w:r>
      <w:r>
        <w:rPr>
          <w:rFonts w:hint="eastAsia"/>
          <w:lang w:val="en-US" w:eastAsia="zh-CN"/>
        </w:rPr>
        <w:t xml:space="preserve"> </w:t>
      </w:r>
      <w:r>
        <w:rPr>
          <w:rFonts w:hint="eastAsia"/>
        </w:rPr>
        <w:t>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第一条 </w:t>
      </w:r>
      <w:r>
        <w:rPr>
          <w:rFonts w:hint="eastAsia" w:ascii="仿宋" w:hAnsi="仿宋" w:eastAsia="仿宋" w:cs="仿宋"/>
          <w:sz w:val="32"/>
          <w:szCs w:val="32"/>
        </w:rPr>
        <w:t>为加强和规范学校国内差旅费报销管理，推进厉行节约反对浪费，根据《中共中央办公厅、国务院办公厅关于进一步完善中央财政科研项目资金管理等政策的若干意见》（中办发〔2016〕50号）</w:t>
      </w:r>
      <w:bookmarkStart w:id="0" w:name="_GoBack"/>
      <w:bookmarkEnd w:id="0"/>
      <w:r>
        <w:rPr>
          <w:rFonts w:hint="eastAsia" w:ascii="仿宋" w:hAnsi="仿宋" w:eastAsia="仿宋" w:cs="仿宋"/>
          <w:sz w:val="32"/>
          <w:szCs w:val="32"/>
          <w:lang w:eastAsia="zh-CN"/>
        </w:rPr>
        <w:t>等</w:t>
      </w:r>
      <w:r>
        <w:rPr>
          <w:rFonts w:hint="eastAsia" w:ascii="仿宋" w:hAnsi="仿宋" w:eastAsia="仿宋" w:cs="仿宋"/>
          <w:sz w:val="32"/>
          <w:szCs w:val="32"/>
        </w:rPr>
        <w:t>文件</w:t>
      </w:r>
      <w:r>
        <w:rPr>
          <w:rFonts w:hint="eastAsia" w:ascii="仿宋" w:hAnsi="仿宋" w:eastAsia="仿宋" w:cs="仿宋"/>
          <w:sz w:val="32"/>
          <w:szCs w:val="32"/>
          <w:lang w:eastAsia="zh-CN"/>
        </w:rPr>
        <w:t>精神</w:t>
      </w:r>
      <w:r>
        <w:rPr>
          <w:rFonts w:hint="eastAsia" w:ascii="仿宋" w:hAnsi="仿宋" w:eastAsia="仿宋" w:cs="仿宋"/>
          <w:sz w:val="32"/>
          <w:szCs w:val="32"/>
        </w:rPr>
        <w:t>，结合学校实际，制定本办法。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第二条 </w:t>
      </w:r>
      <w:r>
        <w:rPr>
          <w:rFonts w:hint="eastAsia" w:ascii="仿宋" w:hAnsi="仿宋" w:eastAsia="仿宋" w:cs="仿宋"/>
          <w:sz w:val="32"/>
          <w:szCs w:val="32"/>
        </w:rPr>
        <w:t>本办法适用于学校各院(系、所、中心）、部（处）以及其他直附属单位（以下简称</w:t>
      </w:r>
      <w:r>
        <w:rPr>
          <w:rFonts w:hint="eastAsia" w:ascii="仿宋" w:hAnsi="仿宋" w:eastAsia="仿宋" w:cs="仿宋"/>
          <w:sz w:val="32"/>
          <w:szCs w:val="32"/>
          <w:lang w:eastAsia="zh-CN"/>
        </w:rPr>
        <w:t>“</w:t>
      </w:r>
      <w:r>
        <w:rPr>
          <w:rFonts w:hint="eastAsia" w:ascii="仿宋" w:hAnsi="仿宋" w:eastAsia="仿宋" w:cs="仿宋"/>
          <w:sz w:val="32"/>
          <w:szCs w:val="32"/>
        </w:rPr>
        <w:t>各单位</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sz w:val="32"/>
          <w:szCs w:val="32"/>
        </w:rPr>
        <w:t xml:space="preserve">第三条 </w:t>
      </w:r>
      <w:r>
        <w:rPr>
          <w:rFonts w:hint="eastAsia" w:ascii="仿宋" w:hAnsi="仿宋" w:eastAsia="仿宋" w:cs="仿宋"/>
          <w:sz w:val="32"/>
          <w:szCs w:val="32"/>
        </w:rPr>
        <w:t>差旅费是指教职工临时到常驻地以外地区公务出差所发生的国内城市间交通费、住宿费、伙食补助费和市内交通费等。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第四条 </w:t>
      </w:r>
      <w:r>
        <w:rPr>
          <w:rFonts w:hint="eastAsia" w:ascii="仿宋" w:hAnsi="仿宋" w:eastAsia="仿宋" w:cs="仿宋"/>
          <w:sz w:val="32"/>
          <w:szCs w:val="32"/>
        </w:rPr>
        <w:t>建立健全出差审批制度，出差应按规定报经所在单位有关领导批准，从严控制出差人数和天数；严格差旅费预算管理，控制差旅费支出规模；严禁无实质内容、无明确公务或业务目的的差旅活动，严禁以任何名义和方式变相旅游，严禁异地部门间无实质内容的学习交流和考察调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第五条 </w:t>
      </w:r>
      <w:r>
        <w:rPr>
          <w:rFonts w:hint="eastAsia" w:ascii="仿宋" w:hAnsi="仿宋" w:eastAsia="仿宋" w:cs="仿宋"/>
          <w:sz w:val="32"/>
          <w:szCs w:val="32"/>
        </w:rPr>
        <w:t>差旅费使用和管理职责如下：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出差人是差旅费的直接责任人，对差旅费使用的合规性、合理性、真实性和相关性承担直接责任。出差人应了解并遵守有关财经法律法规和差旅费管理制度，依法、据实报销差旅费。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i w:val="0"/>
          <w:iCs/>
          <w:color w:val="000000" w:themeColor="text1"/>
          <w:sz w:val="32"/>
          <w:szCs w:val="32"/>
        </w:rPr>
        <w:t>各单位对本单位出差人员和使用本单位经费的出差人员使用差旅费承担审批和监管责任。</w:t>
      </w:r>
      <w:r>
        <w:rPr>
          <w:rFonts w:hint="eastAsia" w:ascii="仿宋" w:hAnsi="仿宋" w:eastAsia="仿宋" w:cs="仿宋"/>
          <w:sz w:val="32"/>
          <w:szCs w:val="32"/>
        </w:rPr>
        <w:t>各单位应加强政策宣传，督促、审查出差人员合理、合规报销差旅费。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计财处负责差旅费的会计核算和财务管理，制定和完善学校差旅费管理办法，依据有关财经法律法规、差旅费管理办法，实施差旅费报销管理和服务。</w:t>
      </w:r>
    </w:p>
    <w:p>
      <w:pPr>
        <w:pStyle w:val="2"/>
        <w:rPr>
          <w:rFonts w:hint="eastAsia"/>
        </w:rPr>
      </w:pPr>
      <w:r>
        <w:rPr>
          <w:rFonts w:hint="eastAsia"/>
        </w:rPr>
        <w:t>第二章  城市间交通费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城市间交通费是指工作人员因公到常驻地以外地区出差乘坐火车、轮船、飞机等交通工具所发生的费用。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出差人员应当按规定等级乘坐交通工具，凭据报销。出差人员乘坐城市间交通工具应不超过以下标准：</w:t>
      </w:r>
    </w:p>
    <w:tbl>
      <w:tblPr>
        <w:tblStyle w:val="9"/>
        <w:tblpPr w:leftFromText="180" w:rightFromText="180" w:vertAnchor="text" w:horzAnchor="margin" w:tblpXSpec="center" w:tblpY="1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47"/>
        <w:gridCol w:w="1740"/>
        <w:gridCol w:w="1065"/>
        <w:gridCol w:w="121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标准</w:t>
            </w:r>
          </w:p>
        </w:tc>
        <w:tc>
          <w:tcPr>
            <w:tcW w:w="2847"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对应人员</w:t>
            </w:r>
          </w:p>
        </w:tc>
        <w:tc>
          <w:tcPr>
            <w:tcW w:w="1740"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火车（含高铁、动车、全列软席列车）</w:t>
            </w:r>
          </w:p>
        </w:tc>
        <w:tc>
          <w:tcPr>
            <w:tcW w:w="106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轮船（不包括旅游船）</w:t>
            </w:r>
          </w:p>
        </w:tc>
        <w:tc>
          <w:tcPr>
            <w:tcW w:w="121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飞机</w:t>
            </w:r>
          </w:p>
        </w:tc>
        <w:tc>
          <w:tcPr>
            <w:tcW w:w="1071"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b/>
                <w:szCs w:val="21"/>
                <w:shd w:val="clear" w:color="auto" w:fill="FFFFFF"/>
              </w:rPr>
            </w:pPr>
            <w:r>
              <w:rPr>
                <w:rFonts w:hint="eastAsia" w:ascii="仿宋_GB2312" w:hAnsi="宋体" w:eastAsia="仿宋_GB2312"/>
                <w:b/>
                <w:szCs w:val="21"/>
                <w:shd w:val="clear" w:color="auto" w:fill="FFFFFF"/>
              </w:rPr>
              <w:t>其他交通工具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color w:val="000000" w:themeColor="text1"/>
                <w:szCs w:val="21"/>
                <w:shd w:val="clear" w:color="auto" w:fill="FFFFFF"/>
              </w:rPr>
            </w:pPr>
            <w:r>
              <w:rPr>
                <w:rFonts w:hint="eastAsia" w:ascii="仿宋_GB2312" w:hAnsi="宋体" w:eastAsia="仿宋_GB2312"/>
                <w:color w:val="000000" w:themeColor="text1"/>
                <w:szCs w:val="21"/>
                <w:shd w:val="clear" w:color="auto" w:fill="FFFFFF"/>
              </w:rPr>
              <w:t>一类</w:t>
            </w:r>
          </w:p>
        </w:tc>
        <w:tc>
          <w:tcPr>
            <w:tcW w:w="2847"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rPr>
                <w:rFonts w:hint="eastAsia" w:ascii="仿宋_GB2312" w:hAnsi="宋体" w:eastAsia="仿宋_GB2312"/>
                <w:i w:val="0"/>
                <w:iCs/>
                <w:color w:val="000000" w:themeColor="text1"/>
                <w:szCs w:val="21"/>
                <w:shd w:val="clear" w:color="auto" w:fill="FFFFFF"/>
              </w:rPr>
            </w:pPr>
            <w:r>
              <w:rPr>
                <w:rFonts w:hint="eastAsia" w:ascii="仿宋_GB2312" w:hAnsi="宋体" w:eastAsia="仿宋_GB2312"/>
                <w:i w:val="0"/>
                <w:iCs/>
                <w:color w:val="000000" w:themeColor="text1"/>
                <w:szCs w:val="21"/>
                <w:shd w:val="clear" w:color="auto" w:fill="FFFFFF"/>
                <w:lang w:val="en-US" w:eastAsia="zh-CN"/>
              </w:rPr>
              <w:t>1.</w:t>
            </w:r>
            <w:r>
              <w:rPr>
                <w:rFonts w:hint="eastAsia" w:ascii="仿宋_GB2312" w:hAnsi="宋体" w:eastAsia="仿宋_GB2312"/>
                <w:i w:val="0"/>
                <w:iCs/>
                <w:color w:val="000000" w:themeColor="text1"/>
                <w:szCs w:val="21"/>
                <w:shd w:val="clear" w:color="auto" w:fill="FFFFFF"/>
                <w:lang w:eastAsia="zh-CN"/>
              </w:rPr>
              <w:t>部省级及相当职务人员</w:t>
            </w:r>
            <w:r>
              <w:rPr>
                <w:rFonts w:hint="eastAsia" w:ascii="仿宋_GB2312" w:hAnsi="宋体" w:eastAsia="仿宋_GB2312"/>
                <w:i w:val="0"/>
                <w:iCs/>
                <w:color w:val="000000" w:themeColor="text1"/>
                <w:szCs w:val="21"/>
                <w:shd w:val="clear" w:color="auto" w:fill="FFFFFF"/>
              </w:rPr>
              <w:t>；</w:t>
            </w:r>
          </w:p>
          <w:p>
            <w:pPr>
              <w:autoSpaceDN w:val="0"/>
              <w:snapToGrid w:val="0"/>
              <w:spacing w:line="360" w:lineRule="auto"/>
              <w:rPr>
                <w:rFonts w:hint="eastAsia" w:ascii="仿宋_GB2312" w:hAnsi="宋体" w:eastAsia="仿宋_GB2312"/>
                <w:i w:val="0"/>
                <w:iCs/>
                <w:color w:val="000000" w:themeColor="text1"/>
                <w:szCs w:val="21"/>
                <w:shd w:val="clear" w:color="auto" w:fill="FFFFFF"/>
              </w:rPr>
            </w:pPr>
            <w:r>
              <w:rPr>
                <w:rFonts w:hint="eastAsia" w:ascii="仿宋_GB2312" w:hAnsi="宋体" w:eastAsia="仿宋_GB2312"/>
                <w:i w:val="0"/>
                <w:iCs/>
                <w:color w:val="000000" w:themeColor="text1"/>
                <w:szCs w:val="21"/>
                <w:shd w:val="clear" w:color="auto" w:fill="FFFFFF"/>
                <w:lang w:val="en-US" w:eastAsia="zh-CN"/>
              </w:rPr>
              <w:t>2.</w:t>
            </w:r>
            <w:r>
              <w:rPr>
                <w:rFonts w:hint="eastAsia" w:ascii="仿宋_GB2312" w:hAnsi="宋体" w:eastAsia="仿宋_GB2312"/>
                <w:i w:val="0"/>
                <w:iCs/>
                <w:color w:val="000000" w:themeColor="text1"/>
                <w:szCs w:val="21"/>
                <w:shd w:val="clear" w:color="auto" w:fill="FFFFFF"/>
                <w:lang w:eastAsia="zh-CN"/>
              </w:rPr>
              <w:t>院士；</w:t>
            </w:r>
          </w:p>
          <w:p>
            <w:pPr>
              <w:autoSpaceDN w:val="0"/>
              <w:snapToGrid w:val="0"/>
              <w:spacing w:line="360" w:lineRule="auto"/>
              <w:rPr>
                <w:rFonts w:hint="eastAsia" w:ascii="仿宋_GB2312" w:hAnsi="宋体" w:eastAsia="仿宋_GB2312"/>
                <w:i w:val="0"/>
                <w:iCs/>
                <w:color w:val="000000" w:themeColor="text1"/>
                <w:szCs w:val="21"/>
                <w:shd w:val="clear" w:color="auto" w:fill="FFFFFF"/>
              </w:rPr>
            </w:pPr>
            <w:r>
              <w:rPr>
                <w:rFonts w:hint="eastAsia" w:ascii="仿宋_GB2312" w:hAnsi="宋体" w:eastAsia="仿宋_GB2312"/>
                <w:i w:val="0"/>
                <w:iCs/>
                <w:color w:val="000000" w:themeColor="text1"/>
                <w:szCs w:val="21"/>
                <w:shd w:val="clear" w:color="auto" w:fill="FFFFFF"/>
                <w:lang w:val="en-US" w:eastAsia="zh-CN"/>
              </w:rPr>
              <w:t>3.</w:t>
            </w:r>
            <w:r>
              <w:rPr>
                <w:rFonts w:hint="eastAsia" w:ascii="仿宋_GB2312" w:hAnsi="宋体" w:eastAsia="仿宋_GB2312"/>
                <w:i w:val="0"/>
                <w:iCs/>
                <w:color w:val="000000" w:themeColor="text1"/>
                <w:szCs w:val="21"/>
                <w:shd w:val="clear" w:color="auto" w:fill="FFFFFF"/>
              </w:rPr>
              <w:t>二级教授</w:t>
            </w:r>
            <w:r>
              <w:rPr>
                <w:rFonts w:hint="eastAsia" w:ascii="仿宋_GB2312" w:hAnsi="宋体" w:eastAsia="仿宋_GB2312"/>
                <w:i w:val="0"/>
                <w:iCs/>
                <w:color w:val="000000" w:themeColor="text1"/>
                <w:szCs w:val="21"/>
                <w:shd w:val="clear" w:color="auto" w:fill="FFFFFF"/>
                <w:lang w:eastAsia="zh-CN"/>
              </w:rPr>
              <w:t>。</w:t>
            </w:r>
          </w:p>
          <w:p>
            <w:pPr>
              <w:autoSpaceDN w:val="0"/>
              <w:snapToGrid w:val="0"/>
              <w:spacing w:line="360" w:lineRule="auto"/>
              <w:rPr>
                <w:rFonts w:hint="eastAsia" w:ascii="仿宋_GB2312" w:hAnsi="宋体" w:eastAsia="仿宋_GB2312"/>
                <w:i/>
                <w:color w:val="000000" w:themeColor="text1"/>
                <w:szCs w:val="21"/>
                <w:shd w:val="clear" w:color="auto" w:fill="FFFFFF"/>
                <w:lang w:val="en-US" w:eastAsia="zh-CN"/>
              </w:rPr>
            </w:pPr>
          </w:p>
        </w:tc>
        <w:tc>
          <w:tcPr>
            <w:tcW w:w="1740"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rPr>
                <w:rFonts w:ascii="仿宋_GB2312" w:hAnsi="宋体" w:eastAsia="仿宋_GB2312"/>
                <w:szCs w:val="21"/>
                <w:shd w:val="clear" w:color="auto" w:fill="FFFFFF"/>
              </w:rPr>
            </w:pPr>
            <w:r>
              <w:rPr>
                <w:rFonts w:hint="eastAsia" w:ascii="仿宋_GB2312" w:hAnsi="宋体" w:eastAsia="仿宋_GB2312"/>
                <w:szCs w:val="21"/>
                <w:shd w:val="clear" w:color="auto" w:fill="FFFFFF"/>
              </w:rPr>
              <w:t>火车软卧、一等软座、高铁/动车商务座</w:t>
            </w:r>
          </w:p>
        </w:tc>
        <w:tc>
          <w:tcPr>
            <w:tcW w:w="106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一等舱</w:t>
            </w:r>
          </w:p>
        </w:tc>
        <w:tc>
          <w:tcPr>
            <w:tcW w:w="121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hint="eastAsia" w:ascii="仿宋_GB2312" w:hAnsi="宋体" w:eastAsia="仿宋_GB2312"/>
                <w:color w:val="000000" w:themeColor="text1"/>
                <w:szCs w:val="21"/>
                <w:shd w:val="clear" w:color="auto" w:fill="FFFFFF"/>
              </w:rPr>
            </w:pPr>
            <w:r>
              <w:rPr>
                <w:rFonts w:hint="eastAsia" w:ascii="仿宋_GB2312" w:hAnsi="宋体" w:eastAsia="仿宋_GB2312"/>
                <w:color w:val="000000" w:themeColor="text1"/>
                <w:szCs w:val="21"/>
                <w:shd w:val="clear" w:color="auto" w:fill="FFFFFF"/>
                <w:lang w:eastAsia="zh-CN"/>
              </w:rPr>
              <w:t>商务</w:t>
            </w:r>
            <w:r>
              <w:rPr>
                <w:rFonts w:hint="eastAsia" w:ascii="仿宋_GB2312" w:hAnsi="宋体" w:eastAsia="仿宋_GB2312"/>
                <w:color w:val="000000" w:themeColor="text1"/>
                <w:szCs w:val="21"/>
                <w:shd w:val="clear" w:color="auto" w:fill="FFFFFF"/>
              </w:rPr>
              <w:t>舱</w:t>
            </w:r>
          </w:p>
          <w:p>
            <w:pPr>
              <w:autoSpaceDN w:val="0"/>
              <w:snapToGrid w:val="0"/>
              <w:spacing w:line="360" w:lineRule="auto"/>
              <w:jc w:val="center"/>
              <w:rPr>
                <w:rFonts w:hint="eastAsia" w:ascii="仿宋_GB2312" w:hAnsi="宋体" w:eastAsia="仿宋_GB2312"/>
                <w:color w:val="FF0000"/>
                <w:szCs w:val="21"/>
                <w:shd w:val="clear" w:color="auto" w:fill="FFFFFF"/>
                <w:lang w:eastAsia="zh-CN"/>
              </w:rPr>
            </w:pPr>
            <w:r>
              <w:rPr>
                <w:rFonts w:hint="eastAsia" w:ascii="仿宋_GB2312" w:hAnsi="宋体" w:eastAsia="仿宋_GB2312"/>
                <w:color w:val="000000" w:themeColor="text1"/>
                <w:szCs w:val="21"/>
                <w:shd w:val="clear" w:color="auto" w:fill="FFFFFF"/>
                <w:lang w:eastAsia="zh-CN"/>
              </w:rPr>
              <w:t>（公务舱）</w:t>
            </w:r>
          </w:p>
        </w:tc>
        <w:tc>
          <w:tcPr>
            <w:tcW w:w="1071"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3" w:hRule="atLeas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二类</w:t>
            </w:r>
          </w:p>
        </w:tc>
        <w:tc>
          <w:tcPr>
            <w:tcW w:w="2847"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rPr>
                <w:rFonts w:ascii="仿宋_GB2312" w:hAnsi="宋体" w:eastAsia="仿宋_GB2312"/>
                <w:i w:val="0"/>
                <w:iCs/>
                <w:color w:val="000000" w:themeColor="text1"/>
                <w:szCs w:val="21"/>
                <w:shd w:val="clear" w:color="auto" w:fill="FFFFFF"/>
              </w:rPr>
            </w:pPr>
            <w:r>
              <w:rPr>
                <w:rFonts w:hint="eastAsia" w:ascii="仿宋_GB2312" w:hAnsi="宋体" w:eastAsia="仿宋_GB2312"/>
                <w:i w:val="0"/>
                <w:iCs/>
                <w:color w:val="000000" w:themeColor="text1"/>
                <w:szCs w:val="21"/>
                <w:shd w:val="clear" w:color="auto" w:fill="FFFFFF"/>
              </w:rPr>
              <w:t>1.高级职称人员；</w:t>
            </w:r>
          </w:p>
          <w:p>
            <w:pPr>
              <w:autoSpaceDN w:val="0"/>
              <w:snapToGrid w:val="0"/>
              <w:spacing w:line="360" w:lineRule="auto"/>
              <w:rPr>
                <w:rFonts w:ascii="仿宋_GB2312" w:hAnsi="宋体" w:eastAsia="仿宋_GB2312"/>
                <w:i/>
                <w:color w:val="FF0000"/>
                <w:szCs w:val="21"/>
                <w:shd w:val="clear" w:color="auto" w:fill="FFFFFF"/>
              </w:rPr>
            </w:pPr>
            <w:r>
              <w:rPr>
                <w:rFonts w:hint="eastAsia" w:ascii="仿宋_GB2312" w:hAnsi="宋体" w:eastAsia="仿宋_GB2312"/>
                <w:i w:val="0"/>
                <w:iCs/>
                <w:color w:val="000000" w:themeColor="text1"/>
                <w:szCs w:val="21"/>
                <w:shd w:val="clear" w:color="auto" w:fill="FFFFFF"/>
              </w:rPr>
              <w:t>2.</w:t>
            </w:r>
            <w:r>
              <w:rPr>
                <w:rFonts w:hint="eastAsia" w:ascii="仿宋_GB2312" w:hAnsi="宋体" w:eastAsia="仿宋_GB2312"/>
                <w:i w:val="0"/>
                <w:iCs/>
                <w:color w:val="000000" w:themeColor="text1"/>
                <w:szCs w:val="21"/>
                <w:shd w:val="clear" w:color="auto" w:fill="FFFFFF"/>
                <w:lang w:eastAsia="zh-CN"/>
              </w:rPr>
              <w:t>四</w:t>
            </w:r>
            <w:r>
              <w:rPr>
                <w:rFonts w:hint="eastAsia" w:ascii="仿宋_GB2312" w:hAnsi="宋体" w:eastAsia="仿宋_GB2312"/>
                <w:i w:val="0"/>
                <w:iCs/>
                <w:color w:val="000000" w:themeColor="text1"/>
                <w:szCs w:val="21"/>
                <w:shd w:val="clear" w:color="auto" w:fill="FFFFFF"/>
              </w:rPr>
              <w:t>级及以上管理岗位人员。</w:t>
            </w:r>
          </w:p>
        </w:tc>
        <w:tc>
          <w:tcPr>
            <w:tcW w:w="1740"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rPr>
                <w:rFonts w:ascii="仿宋_GB2312" w:hAnsi="宋体" w:eastAsia="仿宋_GB2312"/>
                <w:szCs w:val="21"/>
                <w:shd w:val="clear" w:color="auto" w:fill="FFFFFF"/>
              </w:rPr>
            </w:pPr>
            <w:r>
              <w:rPr>
                <w:rFonts w:hint="eastAsia" w:ascii="仿宋_GB2312" w:hAnsi="宋体" w:eastAsia="仿宋_GB2312"/>
                <w:szCs w:val="21"/>
                <w:shd w:val="clear" w:color="auto" w:fill="FFFFFF"/>
              </w:rPr>
              <w:t>火车软卧、一等软座、高铁/动车一等座</w:t>
            </w:r>
          </w:p>
        </w:tc>
        <w:tc>
          <w:tcPr>
            <w:tcW w:w="106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二等舱</w:t>
            </w:r>
          </w:p>
        </w:tc>
        <w:tc>
          <w:tcPr>
            <w:tcW w:w="121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经济舱</w:t>
            </w:r>
          </w:p>
        </w:tc>
        <w:tc>
          <w:tcPr>
            <w:tcW w:w="1071"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三类</w:t>
            </w:r>
          </w:p>
        </w:tc>
        <w:tc>
          <w:tcPr>
            <w:tcW w:w="2847"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left"/>
              <w:rPr>
                <w:rFonts w:ascii="仿宋_GB2312" w:hAnsi="宋体" w:eastAsia="仿宋_GB2312"/>
                <w:szCs w:val="21"/>
                <w:shd w:val="clear" w:color="auto" w:fill="FFFFFF"/>
              </w:rPr>
            </w:pPr>
            <w:r>
              <w:rPr>
                <w:rFonts w:hint="eastAsia" w:ascii="仿宋_GB2312" w:hAnsi="宋体" w:eastAsia="仿宋_GB2312"/>
                <w:szCs w:val="21"/>
                <w:shd w:val="clear" w:color="auto" w:fill="FFFFFF"/>
              </w:rPr>
              <w:t>其余人员（包括学生）</w:t>
            </w:r>
          </w:p>
        </w:tc>
        <w:tc>
          <w:tcPr>
            <w:tcW w:w="1740"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rPr>
                <w:rFonts w:ascii="仿宋_GB2312" w:hAnsi="宋体" w:eastAsia="仿宋_GB2312"/>
                <w:szCs w:val="21"/>
                <w:shd w:val="clear" w:color="auto" w:fill="FFFFFF"/>
              </w:rPr>
            </w:pPr>
            <w:r>
              <w:rPr>
                <w:rFonts w:hint="eastAsia" w:ascii="仿宋_GB2312" w:hAnsi="宋体" w:eastAsia="仿宋_GB2312"/>
                <w:szCs w:val="21"/>
                <w:shd w:val="clear" w:color="auto" w:fill="FFFFFF"/>
              </w:rPr>
              <w:t>火车硬座、硬卧、二等软座、高铁/动车二等座</w:t>
            </w:r>
          </w:p>
        </w:tc>
        <w:tc>
          <w:tcPr>
            <w:tcW w:w="106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三等舱</w:t>
            </w:r>
          </w:p>
        </w:tc>
        <w:tc>
          <w:tcPr>
            <w:tcW w:w="1215"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经济舱</w:t>
            </w:r>
          </w:p>
        </w:tc>
        <w:tc>
          <w:tcPr>
            <w:tcW w:w="1071" w:type="dxa"/>
            <w:tcBorders>
              <w:top w:val="single" w:color="auto" w:sz="4" w:space="0"/>
              <w:left w:val="single" w:color="auto" w:sz="4" w:space="0"/>
              <w:bottom w:val="single" w:color="auto" w:sz="4" w:space="0"/>
              <w:right w:val="single" w:color="auto" w:sz="4" w:space="0"/>
            </w:tcBorders>
            <w:vAlign w:val="center"/>
          </w:tcPr>
          <w:p>
            <w:pPr>
              <w:autoSpaceDN w:val="0"/>
              <w:snapToGrid w:val="0"/>
              <w:spacing w:line="360" w:lineRule="auto"/>
              <w:jc w:val="center"/>
              <w:rPr>
                <w:rFonts w:ascii="仿宋_GB2312" w:hAnsi="宋体" w:eastAsia="仿宋_GB2312"/>
                <w:szCs w:val="21"/>
                <w:shd w:val="clear" w:color="auto" w:fill="FFFFFF"/>
              </w:rPr>
            </w:pPr>
            <w:r>
              <w:rPr>
                <w:rFonts w:hint="eastAsia" w:ascii="仿宋_GB2312" w:hAnsi="宋体" w:eastAsia="仿宋_GB2312"/>
                <w:szCs w:val="21"/>
                <w:shd w:val="clear" w:color="auto" w:fill="FFFFFF"/>
              </w:rPr>
              <w:t>凭据报销</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（一）符合第一类差旅费标准的人员出差，因工作需要，随行一人可乘坐同等级交通工具。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（二）学校在职人员、离退休人员因工作需要出差，均可按照本办法规定的相应标准报销。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（三）同时在专业技术岗位和管理岗位两类岗位上任职的人员，可以按照“就高”原则选择差旅费标准。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sz w:val="32"/>
          <w:szCs w:val="32"/>
        </w:rPr>
        <w:t>（四）</w:t>
      </w:r>
      <w:r>
        <w:rPr>
          <w:rFonts w:hint="eastAsia" w:ascii="仿宋" w:hAnsi="仿宋" w:eastAsia="仿宋" w:cs="仿宋"/>
          <w:color w:val="000000" w:themeColor="text1"/>
          <w:sz w:val="32"/>
          <w:szCs w:val="32"/>
        </w:rPr>
        <w:t>学生参与教学科研活动、社会调研活动所发生的差旅费，报销标准不得超过第三类差旅费标准。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（五）学生实习实践活动期间差旅费，在学校规定的实习实践活动经费限额标准内凭据报销。</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1.学生实习实践活动城市间交通，参照其余人员等级乘坐交通工具。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color w:val="000000" w:themeColor="text1"/>
          <w:sz w:val="32"/>
          <w:szCs w:val="32"/>
        </w:rPr>
      </w:pPr>
      <w:r>
        <w:rPr>
          <w:rFonts w:hint="eastAsia" w:ascii="仿宋" w:hAnsi="仿宋" w:eastAsia="仿宋" w:cs="仿宋"/>
          <w:sz w:val="32"/>
          <w:szCs w:val="32"/>
        </w:rPr>
        <w:t>2.</w:t>
      </w:r>
      <w:r>
        <w:rPr>
          <w:rFonts w:hint="eastAsia" w:ascii="仿宋" w:hAnsi="仿宋" w:eastAsia="仿宋" w:cs="仿宋"/>
          <w:color w:val="000000" w:themeColor="text1"/>
          <w:sz w:val="32"/>
          <w:szCs w:val="32"/>
        </w:rPr>
        <w:t>学生实习实践活动补助：在南京市内，补助费每人每天20元；离开南京市赴外地实习实践，补助费每人每天40元。</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3.为便于各学院安排学生实习实践，简化实习实践补助费发放手续，实习实践补助费可由学院在上述标准内，根据实习实践学生人数和实习实践天数，包干使用。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contextualSpacing/>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i w:val="0"/>
          <w:iCs/>
          <w:color w:val="000000" w:themeColor="text1"/>
          <w:sz w:val="32"/>
          <w:szCs w:val="32"/>
        </w:rPr>
        <w:t>工作人员出差到六合、高淳、溧水、江浦农场、白马基地、土桥基地</w:t>
      </w:r>
      <w:r>
        <w:rPr>
          <w:rFonts w:hint="eastAsia" w:ascii="仿宋" w:hAnsi="仿宋" w:eastAsia="仿宋" w:cs="仿宋"/>
          <w:i w:val="0"/>
          <w:iCs/>
          <w:color w:val="000000" w:themeColor="text1"/>
          <w:sz w:val="32"/>
          <w:szCs w:val="32"/>
          <w:lang w:eastAsia="zh-CN"/>
        </w:rPr>
        <w:t>等市内偏远地区</w:t>
      </w:r>
      <w:r>
        <w:rPr>
          <w:rFonts w:hint="eastAsia" w:ascii="仿宋" w:hAnsi="仿宋" w:eastAsia="仿宋" w:cs="仿宋"/>
          <w:i w:val="0"/>
          <w:iCs/>
          <w:color w:val="000000" w:themeColor="text1"/>
          <w:sz w:val="32"/>
          <w:szCs w:val="32"/>
        </w:rPr>
        <w:t>，伙食补助费每人每天60元。</w:t>
      </w:r>
      <w:r>
        <w:rPr>
          <w:rFonts w:hint="eastAsia" w:ascii="仿宋" w:hAnsi="仿宋" w:eastAsia="仿宋" w:cs="仿宋"/>
          <w:sz w:val="32"/>
          <w:szCs w:val="32"/>
        </w:rPr>
        <w:t>教职工经批准</w:t>
      </w:r>
      <w:r>
        <w:rPr>
          <w:rFonts w:hint="eastAsia" w:ascii="仿宋" w:hAnsi="仿宋" w:eastAsia="仿宋" w:cs="仿宋"/>
          <w:color w:val="000000" w:themeColor="text1"/>
          <w:sz w:val="32"/>
          <w:szCs w:val="32"/>
        </w:rPr>
        <w:t>在南京市学习培训，原则上不得住宿，每天分别给予50、40元的伙食和交通补助；确需住宿的，住宿费凭据实报，每天给予50元的伙食补助，共</w:t>
      </w:r>
      <w:r>
        <w:rPr>
          <w:rFonts w:hint="eastAsia" w:ascii="仿宋" w:hAnsi="仿宋" w:eastAsia="仿宋" w:cs="仿宋"/>
          <w:sz w:val="32"/>
          <w:szCs w:val="32"/>
        </w:rPr>
        <w:t>可报销不超过80元的（往返）交通费。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contextualSpacing/>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因特殊需要经领导批准临时借调到外地工作超过一个月的，借调期间的伙食补助费、市内交通费，按正常出差标准减半发放，借出单位不得再给予补助。借调期间，借调人员原则上每月限报一次往返差旅费，但须在备注栏注明借调外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（八）各类人员级别以学校人事部门认定为准。特殊情况经学校批准同意后报人事处、计财处备案执行。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（九）未按规定等级乘坐交通工具的，超支部分由个人自理。对于乘坐高于规定等级的交通工具所发生的费用，按照实际购买票价和自身对应等级全价票“孰低”的原则报销。</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sz w:val="32"/>
          <w:szCs w:val="32"/>
        </w:rPr>
        <w:t xml:space="preserve">第八条 </w:t>
      </w:r>
      <w:r>
        <w:rPr>
          <w:rFonts w:hint="eastAsia" w:ascii="仿宋" w:hAnsi="仿宋" w:eastAsia="仿宋" w:cs="仿宋"/>
          <w:sz w:val="32"/>
          <w:szCs w:val="32"/>
        </w:rPr>
        <w:t>到出差目的地有多种交通工具可选择时，出差人员在不影响工作、确保安全的前提下，应当选乘经济便捷的交通工具。</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sz w:val="32"/>
          <w:szCs w:val="32"/>
        </w:rPr>
        <w:t xml:space="preserve">第九条 </w:t>
      </w:r>
      <w:r>
        <w:rPr>
          <w:rFonts w:hint="eastAsia" w:ascii="仿宋" w:hAnsi="仿宋" w:eastAsia="仿宋" w:cs="仿宋"/>
          <w:sz w:val="32"/>
          <w:szCs w:val="32"/>
        </w:rPr>
        <w:t>因发生城市间交通费用而产生的订票费、签转或退票费、民航发展基金、燃油附加费等相关费用可以凭据报销。</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sz w:val="32"/>
          <w:szCs w:val="32"/>
        </w:rPr>
        <w:t xml:space="preserve">第十条 </w:t>
      </w:r>
      <w:r>
        <w:rPr>
          <w:rFonts w:hint="eastAsia" w:ascii="仿宋" w:hAnsi="仿宋" w:eastAsia="仿宋" w:cs="仿宋"/>
          <w:sz w:val="32"/>
          <w:szCs w:val="32"/>
        </w:rPr>
        <w:t>乘坐飞机、火车、轮船等交通工具的，每人次可以购买交通意外保险一份。</w:t>
      </w:r>
    </w:p>
    <w:p>
      <w:pPr>
        <w:pStyle w:val="2"/>
        <w:rPr>
          <w:rFonts w:hint="eastAsia"/>
        </w:rPr>
      </w:pPr>
      <w:r>
        <w:rPr>
          <w:rFonts w:hint="eastAsia"/>
        </w:rPr>
        <w:t>第三章  住宿费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_GB2312" w:hAnsi="仿宋" w:eastAsia="仿宋_GB2312" w:cs="仿宋"/>
          <w:sz w:val="28"/>
          <w:szCs w:val="28"/>
        </w:rPr>
        <w:t>　　</w:t>
      </w:r>
      <w:r>
        <w:rPr>
          <w:rFonts w:hint="eastAsia" w:ascii="仿宋" w:hAnsi="仿宋" w:eastAsia="仿宋" w:cs="仿宋"/>
          <w:b/>
          <w:sz w:val="32"/>
          <w:szCs w:val="32"/>
        </w:rPr>
        <w:t xml:space="preserve">第十一条 </w:t>
      </w:r>
      <w:r>
        <w:rPr>
          <w:rFonts w:hint="eastAsia" w:ascii="仿宋" w:hAnsi="仿宋" w:eastAsia="仿宋" w:cs="仿宋"/>
          <w:sz w:val="32"/>
          <w:szCs w:val="32"/>
        </w:rPr>
        <w:t>住宿费是指工作人员因公出差期间入住宾馆、饭店、招待所等发生的房租费用。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85"/>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第十二条 </w:t>
      </w:r>
      <w:r>
        <w:rPr>
          <w:rFonts w:hint="eastAsia" w:ascii="仿宋" w:hAnsi="仿宋" w:eastAsia="仿宋" w:cs="仿宋"/>
          <w:sz w:val="32"/>
          <w:szCs w:val="32"/>
        </w:rPr>
        <w:t>学校参照国家有关文件分地区制定《南京农业大学国内差旅住宿费限额标准明细表》（见附件1）。对于住宿价格季节性变化明显的城市，定额标准在旺季可适当上浮一定比例。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85"/>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第十三条 </w:t>
      </w:r>
      <w:r>
        <w:rPr>
          <w:rFonts w:hint="eastAsia" w:ascii="仿宋" w:hAnsi="仿宋" w:eastAsia="仿宋" w:cs="仿宋"/>
          <w:sz w:val="32"/>
          <w:szCs w:val="32"/>
        </w:rPr>
        <w:t>住宿费按照出差住宿开具的发票，在住宿费限额标准内据实报销，超出部分由个人自理。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第十四条 </w:t>
      </w:r>
      <w:r>
        <w:rPr>
          <w:rFonts w:hint="eastAsia" w:ascii="仿宋" w:hAnsi="仿宋" w:eastAsia="仿宋" w:cs="仿宋"/>
          <w:i w:val="0"/>
          <w:iCs/>
          <w:color w:val="000000" w:themeColor="text1"/>
          <w:sz w:val="32"/>
          <w:szCs w:val="32"/>
        </w:rPr>
        <w:t>对于参加</w:t>
      </w:r>
      <w:r>
        <w:rPr>
          <w:rFonts w:hint="eastAsia" w:ascii="仿宋" w:hAnsi="仿宋" w:eastAsia="仿宋" w:cs="仿宋"/>
          <w:i w:val="0"/>
          <w:iCs/>
          <w:color w:val="000000" w:themeColor="text1"/>
          <w:sz w:val="32"/>
          <w:szCs w:val="32"/>
          <w:lang w:eastAsia="zh-CN"/>
        </w:rPr>
        <w:t>校</w:t>
      </w:r>
      <w:r>
        <w:rPr>
          <w:rFonts w:hint="eastAsia" w:ascii="仿宋" w:hAnsi="仿宋" w:eastAsia="仿宋" w:cs="仿宋"/>
          <w:i w:val="0"/>
          <w:iCs/>
          <w:color w:val="000000" w:themeColor="text1"/>
          <w:sz w:val="32"/>
          <w:szCs w:val="32"/>
        </w:rPr>
        <w:t>外单位举办的会议和培训，举办方统一安排住宿且费用自理的，如住宿费标准超出限额标准，</w:t>
      </w:r>
      <w:r>
        <w:rPr>
          <w:rFonts w:hint="eastAsia" w:ascii="仿宋" w:hAnsi="仿宋" w:eastAsia="仿宋" w:cs="仿宋"/>
          <w:i w:val="0"/>
          <w:iCs/>
          <w:color w:val="000000" w:themeColor="text1"/>
          <w:sz w:val="32"/>
          <w:szCs w:val="32"/>
          <w:lang w:eastAsia="zh-CN"/>
        </w:rPr>
        <w:t>须</w:t>
      </w:r>
      <w:r>
        <w:rPr>
          <w:rFonts w:hint="eastAsia" w:ascii="仿宋" w:hAnsi="仿宋" w:eastAsia="仿宋" w:cs="仿宋"/>
          <w:i w:val="0"/>
          <w:iCs/>
          <w:color w:val="000000" w:themeColor="text1"/>
          <w:sz w:val="32"/>
          <w:szCs w:val="32"/>
        </w:rPr>
        <w:t>提供会议和培训通知等举办方出具的有效证明，无法提供有效证明的，出差人员须提供书面情况说明，经所在单位审批后据实报销住宿费，最高不得超过一类住宿费标准。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第十五条 </w:t>
      </w:r>
      <w:r>
        <w:rPr>
          <w:rFonts w:hint="eastAsia" w:ascii="仿宋" w:hAnsi="仿宋" w:eastAsia="仿宋" w:cs="仿宋"/>
          <w:sz w:val="32"/>
          <w:szCs w:val="32"/>
        </w:rPr>
        <w:t>住宿费发票应注明住宿天数、人数（或房间数）、单价等基本信息，以便判断住宿费是否符合标准。如因宾馆客观条件限制无法在发票上体现住宿天数、人数（或房间数）、单价，出差人应实事求是在发票票面予以注明并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第十六条 </w:t>
      </w:r>
      <w:r>
        <w:rPr>
          <w:rFonts w:hint="eastAsia" w:ascii="仿宋" w:hAnsi="仿宋" w:eastAsia="仿宋" w:cs="仿宋"/>
          <w:sz w:val="32"/>
          <w:szCs w:val="32"/>
        </w:rPr>
        <w:t>如需申请抵扣进项税，应取得住宿费增值税专用发票。</w:t>
      </w:r>
    </w:p>
    <w:p>
      <w:pPr>
        <w:pStyle w:val="2"/>
        <w:rPr>
          <w:rFonts w:hint="eastAsia"/>
        </w:rPr>
      </w:pPr>
      <w:r>
        <w:rPr>
          <w:rFonts w:hint="eastAsia"/>
        </w:rPr>
        <w:t>第四章  伙食补助费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_GB2312" w:hAnsi="仿宋" w:eastAsia="仿宋_GB2312" w:cs="仿宋"/>
          <w:sz w:val="32"/>
          <w:szCs w:val="32"/>
        </w:rPr>
        <w:t>　　</w:t>
      </w:r>
      <w:r>
        <w:rPr>
          <w:rFonts w:hint="eastAsia" w:ascii="仿宋" w:hAnsi="仿宋" w:eastAsia="仿宋" w:cs="仿宋"/>
          <w:b/>
          <w:sz w:val="32"/>
          <w:szCs w:val="32"/>
        </w:rPr>
        <w:t xml:space="preserve">第十七条 </w:t>
      </w:r>
      <w:r>
        <w:rPr>
          <w:rFonts w:hint="eastAsia" w:ascii="仿宋" w:hAnsi="仿宋" w:eastAsia="仿宋" w:cs="仿宋"/>
          <w:sz w:val="32"/>
          <w:szCs w:val="32"/>
        </w:rPr>
        <w:t>伙食补助费是指对工作人员在出差期间给予的伙食补助费用。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第十八条 </w:t>
      </w:r>
      <w:r>
        <w:rPr>
          <w:rFonts w:hint="eastAsia" w:ascii="仿宋" w:hAnsi="仿宋" w:eastAsia="仿宋" w:cs="仿宋"/>
          <w:sz w:val="32"/>
          <w:szCs w:val="32"/>
        </w:rPr>
        <w:t>出差人员伙食补助费包干使用，按自然天数包干发放。发放标准除西藏、青海、新疆为120元/人/天外，其余地区均为100元/人/天。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对于参加会议和培训，举办方承担伙食费用的，发放在途期间的伙食补助费；举办方不承担伙食费用的，按照出差自然天数发放伙食补助费。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第十九条 </w:t>
      </w:r>
      <w:r>
        <w:rPr>
          <w:rFonts w:hint="eastAsia" w:ascii="仿宋" w:hAnsi="仿宋" w:eastAsia="仿宋" w:cs="仿宋"/>
          <w:sz w:val="32"/>
          <w:szCs w:val="32"/>
        </w:rPr>
        <w:t>已由校外单位负担伙食费用的，不得在学校重复领取伙食补助费。</w:t>
      </w:r>
    </w:p>
    <w:p>
      <w:pPr>
        <w:pStyle w:val="2"/>
        <w:rPr>
          <w:rFonts w:hint="eastAsia"/>
        </w:rPr>
      </w:pPr>
      <w:r>
        <w:rPr>
          <w:rFonts w:hint="eastAsia"/>
        </w:rPr>
        <w:t>第五章  市内交通费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_GB2312" w:hAnsi="仿宋" w:eastAsia="仿宋_GB2312" w:cs="仿宋"/>
          <w:sz w:val="32"/>
          <w:szCs w:val="32"/>
        </w:rPr>
        <w:t>　　</w:t>
      </w:r>
      <w:r>
        <w:rPr>
          <w:rFonts w:hint="eastAsia" w:ascii="仿宋" w:hAnsi="仿宋" w:eastAsia="仿宋" w:cs="仿宋"/>
          <w:b/>
          <w:sz w:val="32"/>
          <w:szCs w:val="32"/>
        </w:rPr>
        <w:t xml:space="preserve">第二十条 </w:t>
      </w:r>
      <w:r>
        <w:rPr>
          <w:rFonts w:hint="eastAsia" w:ascii="仿宋" w:hAnsi="仿宋" w:eastAsia="仿宋" w:cs="仿宋"/>
          <w:sz w:val="32"/>
          <w:szCs w:val="32"/>
        </w:rPr>
        <w:t>市内交通费是指工作人员出差期间发生的市内交通费用。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4"/>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第二十一条 </w:t>
      </w:r>
      <w:r>
        <w:rPr>
          <w:rFonts w:hint="eastAsia" w:ascii="仿宋" w:hAnsi="仿宋" w:eastAsia="仿宋" w:cs="仿宋"/>
          <w:sz w:val="32"/>
          <w:szCs w:val="32"/>
        </w:rPr>
        <w:t>市内交通费按出差自然(日历)天数计算，每人每天80元包干使用。往返驻地和机场（火车站、码头）的市内交通费可凭票实报实销，不再领取</w:t>
      </w:r>
      <w:r>
        <w:rPr>
          <w:rFonts w:hint="eastAsia" w:ascii="仿宋" w:hAnsi="仿宋" w:eastAsia="仿宋" w:cs="仿宋"/>
          <w:sz w:val="32"/>
          <w:szCs w:val="32"/>
          <w:lang w:eastAsia="zh-CN"/>
        </w:rPr>
        <w:t>当天的</w:t>
      </w:r>
      <w:r>
        <w:rPr>
          <w:rFonts w:hint="eastAsia" w:ascii="仿宋" w:hAnsi="仿宋" w:eastAsia="仿宋" w:cs="仿宋"/>
          <w:sz w:val="32"/>
          <w:szCs w:val="32"/>
        </w:rPr>
        <w:t>包干费用。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55"/>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第二十二条 </w:t>
      </w:r>
      <w:r>
        <w:rPr>
          <w:rFonts w:hint="eastAsia" w:ascii="仿宋" w:hAnsi="仿宋" w:eastAsia="仿宋" w:cs="仿宋"/>
          <w:sz w:val="32"/>
          <w:szCs w:val="32"/>
        </w:rPr>
        <w:t>已由校外单位负担市内交通费用的，不得在学校重复报销市内交通费。</w:t>
      </w:r>
    </w:p>
    <w:p>
      <w:pPr>
        <w:pStyle w:val="2"/>
        <w:rPr>
          <w:rFonts w:hint="eastAsia"/>
        </w:rPr>
      </w:pPr>
      <w:r>
        <w:rPr>
          <w:rFonts w:hint="eastAsia"/>
        </w:rPr>
        <w:t>第六章  报销管理</w:t>
      </w:r>
    </w:p>
    <w:p>
      <w:pPr>
        <w:keepNext w:val="0"/>
        <w:keepLines w:val="0"/>
        <w:pageBreakBefore w:val="0"/>
        <w:kinsoku/>
        <w:wordWrap/>
        <w:overflowPunct/>
        <w:topLinePunct w:val="0"/>
        <w:bidi w:val="0"/>
        <w:snapToGrid/>
        <w:spacing w:line="36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第二十三条 </w:t>
      </w:r>
      <w:r>
        <w:rPr>
          <w:rFonts w:hint="eastAsia" w:ascii="仿宋" w:hAnsi="仿宋" w:eastAsia="仿宋" w:cs="仿宋"/>
          <w:sz w:val="32"/>
          <w:szCs w:val="32"/>
        </w:rPr>
        <w:t>出差前应先履行单位审批手续，再办理差旅费预支和报销。如差旅费报销</w:t>
      </w:r>
      <w:r>
        <w:rPr>
          <w:rFonts w:hint="eastAsia" w:ascii="仿宋" w:hAnsi="仿宋" w:eastAsia="仿宋" w:cs="仿宋"/>
          <w:sz w:val="32"/>
          <w:szCs w:val="32"/>
          <w:lang w:eastAsia="zh-CN"/>
        </w:rPr>
        <w:t>表和</w:t>
      </w:r>
      <w:r>
        <w:rPr>
          <w:rFonts w:hint="eastAsia" w:ascii="仿宋" w:hAnsi="仿宋" w:eastAsia="仿宋" w:cs="仿宋"/>
          <w:sz w:val="32"/>
          <w:szCs w:val="32"/>
        </w:rPr>
        <w:t>预支款请款书</w:t>
      </w:r>
      <w:r>
        <w:rPr>
          <w:rFonts w:hint="eastAsia" w:ascii="仿宋" w:hAnsi="仿宋" w:eastAsia="仿宋" w:cs="仿宋"/>
          <w:sz w:val="32"/>
          <w:szCs w:val="32"/>
          <w:lang w:eastAsia="zh-CN"/>
        </w:rPr>
        <w:t>（暂付款单）</w:t>
      </w:r>
      <w:r>
        <w:rPr>
          <w:rFonts w:hint="eastAsia" w:ascii="仿宋" w:hAnsi="仿宋" w:eastAsia="仿宋" w:cs="仿宋"/>
          <w:sz w:val="32"/>
          <w:szCs w:val="32"/>
        </w:rPr>
        <w:t>签字盖章齐全，视同出差人所在单位已经审批同意出差。</w:t>
      </w:r>
    </w:p>
    <w:p>
      <w:pPr>
        <w:keepNext w:val="0"/>
        <w:keepLines w:val="0"/>
        <w:pageBreakBefore w:val="0"/>
        <w:kinsoku/>
        <w:wordWrap/>
        <w:overflowPunct/>
        <w:topLinePunct w:val="0"/>
        <w:bidi w:val="0"/>
        <w:snapToGrid/>
        <w:spacing w:line="360" w:lineRule="auto"/>
        <w:ind w:left="0" w:leftChars="0" w:right="0" w:rightChars="0" w:firstLine="643"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 xml:space="preserve">第二十四条 </w:t>
      </w:r>
      <w:r>
        <w:rPr>
          <w:rFonts w:hint="eastAsia" w:ascii="仿宋" w:hAnsi="仿宋" w:eastAsia="仿宋" w:cs="仿宋"/>
          <w:color w:val="000000"/>
          <w:kern w:val="0"/>
          <w:sz w:val="32"/>
          <w:szCs w:val="32"/>
        </w:rPr>
        <w:t>出差人员出差结束后，应及时办理报销手续。差旅费报销时须提供“南京农业大学</w:t>
      </w:r>
      <w:r>
        <w:rPr>
          <w:rFonts w:hint="eastAsia" w:ascii="仿宋" w:hAnsi="仿宋" w:eastAsia="仿宋" w:cs="仿宋"/>
          <w:color w:val="000000"/>
          <w:kern w:val="0"/>
          <w:sz w:val="32"/>
          <w:szCs w:val="32"/>
          <w:lang w:eastAsia="zh-CN"/>
        </w:rPr>
        <w:t>差旅费</w:t>
      </w:r>
      <w:r>
        <w:rPr>
          <w:rFonts w:hint="eastAsia" w:ascii="仿宋" w:hAnsi="仿宋" w:eastAsia="仿宋" w:cs="仿宋"/>
          <w:color w:val="000000"/>
          <w:kern w:val="0"/>
          <w:sz w:val="32"/>
          <w:szCs w:val="32"/>
        </w:rPr>
        <w:t>报销</w:t>
      </w:r>
      <w:r>
        <w:rPr>
          <w:rFonts w:hint="eastAsia" w:ascii="仿宋" w:hAnsi="仿宋" w:eastAsia="仿宋" w:cs="仿宋"/>
          <w:color w:val="000000"/>
          <w:kern w:val="0"/>
          <w:sz w:val="32"/>
          <w:szCs w:val="32"/>
          <w:lang w:eastAsia="zh-CN"/>
        </w:rPr>
        <w:t>表</w:t>
      </w:r>
      <w:r>
        <w:rPr>
          <w:rFonts w:hint="eastAsia" w:ascii="仿宋" w:hAnsi="仿宋" w:eastAsia="仿宋" w:cs="仿宋"/>
          <w:color w:val="000000"/>
          <w:kern w:val="0"/>
          <w:sz w:val="32"/>
          <w:szCs w:val="32"/>
        </w:rPr>
        <w:t>”，并附上机票、车船票、住宿发票、市内交通票据等凭证。</w:t>
      </w:r>
    </w:p>
    <w:p>
      <w:pPr>
        <w:keepNext w:val="0"/>
        <w:keepLines w:val="0"/>
        <w:pageBreakBefore w:val="0"/>
        <w:kinsoku/>
        <w:wordWrap/>
        <w:overflowPunct/>
        <w:topLinePunct w:val="0"/>
        <w:bidi w:val="0"/>
        <w:snapToGrid/>
        <w:spacing w:line="36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出差人员在出差期间所发生的费用，应连同当次差旅费同时报销，事后不予补报。</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 xml:space="preserve">第二十五条 </w:t>
      </w:r>
      <w:r>
        <w:rPr>
          <w:rFonts w:hint="eastAsia" w:ascii="仿宋" w:hAnsi="仿宋" w:eastAsia="仿宋" w:cs="仿宋"/>
          <w:color w:val="000000"/>
          <w:kern w:val="0"/>
          <w:sz w:val="32"/>
          <w:szCs w:val="32"/>
        </w:rPr>
        <w:t>住宿费、机票支出等出差相关费用按学校有关规定结算。　</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 xml:space="preserve">第二十六条 </w:t>
      </w:r>
      <w:r>
        <w:rPr>
          <w:rFonts w:hint="eastAsia" w:ascii="仿宋" w:hAnsi="仿宋" w:eastAsia="仿宋" w:cs="仿宋"/>
          <w:color w:val="000000"/>
          <w:kern w:val="0"/>
          <w:sz w:val="32"/>
          <w:szCs w:val="32"/>
        </w:rPr>
        <w:t>出差人员应凭住宿费发票和城市间交通费票据领取伙食补助费和市内交通费。对于实际发生住宿、乘坐交通工具，而无法取得相关票据的，按下列规定报销：</w:t>
      </w:r>
    </w:p>
    <w:p>
      <w:pPr>
        <w:keepNext w:val="0"/>
        <w:keepLines w:val="0"/>
        <w:pageBreakBefore w:val="0"/>
        <w:widowControl/>
        <w:shd w:val="clear" w:color="auto" w:fill="FFFFFF"/>
        <w:kinsoku/>
        <w:wordWrap/>
        <w:overflowPunct/>
        <w:topLinePunct w:val="0"/>
        <w:bidi w:val="0"/>
        <w:snapToGrid/>
        <w:spacing w:line="360" w:lineRule="auto"/>
        <w:ind w:left="0" w:leftChars="0" w:right="0" w:rightChars="0" w:firstLine="64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（一）受邀参加学术会议、研讨会、评审会、座谈会等，</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提供邀请方负担住宿费或城市间交通费的有效证明，无法提供有效证明的，出差人员</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提供书面情况说明，经所在单位审批同意后，按规定标准据实报销相关费用或发放相关补助。</w:t>
      </w:r>
    </w:p>
    <w:p>
      <w:pPr>
        <w:keepNext w:val="0"/>
        <w:keepLines w:val="0"/>
        <w:pageBreakBefore w:val="0"/>
        <w:widowControl/>
        <w:shd w:val="clear" w:color="auto" w:fill="FFFFFF"/>
        <w:kinsoku/>
        <w:wordWrap/>
        <w:overflowPunct/>
        <w:topLinePunct w:val="0"/>
        <w:bidi w:val="0"/>
        <w:snapToGrid/>
        <w:spacing w:line="360" w:lineRule="auto"/>
        <w:ind w:left="0" w:leftChars="0" w:right="0" w:rightChars="0" w:firstLine="64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（二）与其他单位开展科研合作，对方单位提供住宿的，</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提供合作方出具的有效证明，无法提供有效证明的，出差人员</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提供书面情况说明，经所在单位审批同意后，按级别标准据实报销城市间交通费，按规定标准发放伙食补助费和市内交通费。</w:t>
      </w:r>
    </w:p>
    <w:p>
      <w:pPr>
        <w:keepNext w:val="0"/>
        <w:keepLines w:val="0"/>
        <w:pageBreakBefore w:val="0"/>
        <w:widowControl/>
        <w:shd w:val="clear" w:color="auto" w:fill="FFFFFF"/>
        <w:kinsoku/>
        <w:wordWrap/>
        <w:overflowPunct/>
        <w:topLinePunct w:val="0"/>
        <w:bidi w:val="0"/>
        <w:snapToGrid/>
        <w:spacing w:line="360" w:lineRule="auto"/>
        <w:ind w:left="0" w:leftChars="0" w:right="0" w:rightChars="0" w:firstLine="64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开展野外调研、社会调查、考古挖掘、环境监测、气象观测、地质调查、工地勘察、海洋科学考察等工作，住在帐篷、农户、船舶、厂矿、科研基地、考察站、监测站、农场、林场、学生宿舍和教室等不收取住宿费或不能取得住宿费发票的，提供住宿情况说明及其他有关凭据，无法提供有效证明的，出差人员</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提供书面情况说明，经所在单位审批同意后，按级别标准据实报销城市间交通费，按规定标准发放伙食补助费和市内交通费。</w:t>
      </w:r>
    </w:p>
    <w:p>
      <w:pPr>
        <w:keepNext w:val="0"/>
        <w:keepLines w:val="0"/>
        <w:pageBreakBefore w:val="0"/>
        <w:kinsoku/>
        <w:wordWrap/>
        <w:overflowPunct/>
        <w:topLinePunct w:val="0"/>
        <w:autoSpaceDE w:val="0"/>
        <w:autoSpaceDN w:val="0"/>
        <w:bidi w:val="0"/>
        <w:adjustRightInd w:val="0"/>
        <w:snapToGrid/>
        <w:spacing w:line="360" w:lineRule="auto"/>
        <w:ind w:left="0" w:leftChars="0" w:right="0" w:rightChars="0" w:firstLine="643"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 xml:space="preserve">第二十七条 </w:t>
      </w:r>
      <w:r>
        <w:rPr>
          <w:rFonts w:hint="eastAsia" w:ascii="仿宋" w:hAnsi="仿宋" w:eastAsia="仿宋" w:cs="仿宋"/>
          <w:color w:val="000000"/>
          <w:kern w:val="0"/>
          <w:sz w:val="32"/>
          <w:szCs w:val="32"/>
        </w:rPr>
        <w:t>到常驻地以外参加会议、培训的，凭会议、培训通知，按照本办法的规定报销往返会议、培训地点发生的城市间交通费、伙食补助费和市内交通费，举办方承担伙食费用的，发放在途期间的伙食补助。交纳的会务费、培训费</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随差旅费同时报销。</w:t>
      </w:r>
    </w:p>
    <w:p>
      <w:pPr>
        <w:pStyle w:val="2"/>
        <w:rPr>
          <w:rFonts w:hint="eastAsia"/>
        </w:rPr>
      </w:pPr>
      <w:r>
        <w:rPr>
          <w:rFonts w:hint="eastAsia"/>
          <w:lang w:val="en-US" w:eastAsia="zh-CN"/>
        </w:rPr>
        <w:t>第七章　其他相关规定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 xml:space="preserve">第二十八条 </w:t>
      </w:r>
      <w:r>
        <w:rPr>
          <w:rFonts w:hint="eastAsia" w:ascii="仿宋" w:hAnsi="仿宋" w:eastAsia="仿宋" w:cs="仿宋"/>
          <w:color w:val="000000"/>
          <w:kern w:val="0"/>
          <w:sz w:val="32"/>
          <w:szCs w:val="32"/>
        </w:rPr>
        <w:t>确因工作需要邀请学者、专家或有关校外人员来校开会、交流、访问或赴外地参加调研,按以下情况对照学校相应标准报销差旅费：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（一）邀请来校开会的，按差旅费规定报销受邀人员城市间交通费，按会议费规定报销住宿费、伙食费、市内交通费等。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（二）邀请来校交流、访问的，按差旅费规定报销受邀人员城市间交通费，在住宿费定额标准范围内凭票报销住宿</w:t>
      </w:r>
      <w:r>
        <w:rPr>
          <w:rFonts w:hint="eastAsia" w:ascii="仿宋" w:hAnsi="仿宋" w:eastAsia="仿宋" w:cs="仿宋"/>
          <w:sz w:val="32"/>
          <w:szCs w:val="32"/>
        </w:rPr>
        <w:t>费，不再发放伙食补助费和市内交通费。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27" w:firstLineChars="196"/>
        <w:jc w:val="both"/>
        <w:textAlignment w:val="auto"/>
        <w:outlineLvl w:val="9"/>
        <w:rPr>
          <w:rFonts w:hint="eastAsia" w:ascii="仿宋" w:hAnsi="仿宋" w:eastAsia="仿宋" w:cs="仿宋"/>
          <w:sz w:val="32"/>
          <w:szCs w:val="32"/>
        </w:rPr>
      </w:pPr>
      <w:r>
        <w:rPr>
          <w:rFonts w:hint="eastAsia" w:ascii="仿宋" w:hAnsi="仿宋" w:eastAsia="仿宋" w:cs="仿宋"/>
          <w:color w:val="000000"/>
          <w:kern w:val="0"/>
          <w:sz w:val="32"/>
          <w:szCs w:val="32"/>
        </w:rPr>
        <w:t>（三）邀请赴外地参加调研的，按差旅费规定报销受邀人员城市间交通费、住宿费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市内交通费</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30"/>
        <w:jc w:val="both"/>
        <w:textAlignment w:val="auto"/>
        <w:outlineLvl w:val="9"/>
        <w:rPr>
          <w:rFonts w:hint="eastAsia" w:ascii="仿宋" w:hAnsi="仿宋" w:eastAsia="仿宋" w:cs="仿宋"/>
          <w:color w:val="000000"/>
          <w:kern w:val="0"/>
          <w:sz w:val="32"/>
          <w:szCs w:val="32"/>
        </w:rPr>
      </w:pPr>
      <w:r>
        <w:rPr>
          <w:rFonts w:hint="eastAsia" w:ascii="仿宋" w:hAnsi="仿宋" w:eastAsia="仿宋" w:cs="仿宋"/>
          <w:b/>
          <w:sz w:val="32"/>
          <w:szCs w:val="32"/>
        </w:rPr>
        <w:t>第二十九条</w:t>
      </w:r>
      <w:r>
        <w:rPr>
          <w:rFonts w:hint="eastAsia" w:ascii="仿宋" w:hAnsi="仿宋" w:eastAsia="仿宋" w:cs="仿宋"/>
          <w:b/>
          <w:bCs/>
          <w:color w:val="646464"/>
          <w:kern w:val="0"/>
          <w:sz w:val="32"/>
          <w:szCs w:val="32"/>
        </w:rPr>
        <w:t xml:space="preserve">  </w:t>
      </w:r>
      <w:r>
        <w:rPr>
          <w:rFonts w:hint="eastAsia" w:ascii="仿宋" w:hAnsi="仿宋" w:eastAsia="仿宋" w:cs="仿宋"/>
          <w:color w:val="000000"/>
          <w:kern w:val="0"/>
          <w:sz w:val="32"/>
          <w:szCs w:val="32"/>
        </w:rPr>
        <w:t>开展考察、调研和测试监测工作，受地理环境和当地条件限制，需要租车的，应手续完备，票据合规。在目的地租车的，视同市内交通费，按实报销；从常驻地到目的地往返租车的，视同城市间交通费报销，不再发放市内交通补助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30"/>
        <w:jc w:val="both"/>
        <w:textAlignment w:val="auto"/>
        <w:outlineLvl w:val="9"/>
        <w:rPr>
          <w:rFonts w:hint="eastAsia" w:ascii="仿宋" w:hAnsi="仿宋" w:eastAsia="仿宋" w:cs="仿宋"/>
          <w:i w:val="0"/>
          <w:iCs w:val="0"/>
          <w:color w:val="000000" w:themeColor="text1"/>
          <w:kern w:val="0"/>
          <w:sz w:val="32"/>
          <w:szCs w:val="32"/>
        </w:rPr>
      </w:pPr>
      <w:r>
        <w:rPr>
          <w:rFonts w:hint="eastAsia" w:ascii="仿宋" w:hAnsi="仿宋" w:eastAsia="仿宋" w:cs="仿宋"/>
          <w:i w:val="0"/>
          <w:iCs w:val="0"/>
          <w:color w:val="000000" w:themeColor="text1"/>
          <w:kern w:val="0"/>
          <w:sz w:val="32"/>
          <w:szCs w:val="32"/>
        </w:rPr>
        <w:t>出差人员因公出差应选择公共交通出行，确因工作需要自驾车前往的，出差人员</w:t>
      </w:r>
      <w:r>
        <w:rPr>
          <w:rFonts w:hint="eastAsia" w:ascii="仿宋" w:hAnsi="仿宋" w:eastAsia="仿宋" w:cs="仿宋"/>
          <w:i w:val="0"/>
          <w:iCs w:val="0"/>
          <w:color w:val="000000" w:themeColor="text1"/>
          <w:kern w:val="0"/>
          <w:sz w:val="32"/>
          <w:szCs w:val="32"/>
          <w:lang w:eastAsia="zh-CN"/>
        </w:rPr>
        <w:t>须</w:t>
      </w:r>
      <w:r>
        <w:rPr>
          <w:rFonts w:hint="eastAsia" w:ascii="仿宋" w:hAnsi="仿宋" w:eastAsia="仿宋" w:cs="仿宋"/>
          <w:i w:val="0"/>
          <w:iCs w:val="0"/>
          <w:color w:val="000000" w:themeColor="text1"/>
          <w:kern w:val="0"/>
          <w:sz w:val="32"/>
          <w:szCs w:val="32"/>
        </w:rPr>
        <w:t>提供书面申请，经费负责人同意</w:t>
      </w:r>
      <w:r>
        <w:rPr>
          <w:rFonts w:hint="eastAsia" w:ascii="仿宋" w:hAnsi="仿宋" w:eastAsia="仿宋" w:cs="仿宋"/>
          <w:i w:val="0"/>
          <w:iCs w:val="0"/>
          <w:color w:val="000000" w:themeColor="text1"/>
          <w:kern w:val="0"/>
          <w:sz w:val="32"/>
          <w:szCs w:val="32"/>
          <w:lang w:eastAsia="zh-CN"/>
        </w:rPr>
        <w:t>并</w:t>
      </w:r>
      <w:r>
        <w:rPr>
          <w:rFonts w:hint="eastAsia" w:ascii="仿宋" w:hAnsi="仿宋" w:eastAsia="仿宋" w:cs="仿宋"/>
          <w:i w:val="0"/>
          <w:iCs w:val="0"/>
          <w:color w:val="000000" w:themeColor="text1"/>
          <w:kern w:val="0"/>
          <w:sz w:val="32"/>
          <w:szCs w:val="32"/>
        </w:rPr>
        <w:t>由所在单位审批同意后，</w:t>
      </w:r>
      <w:r>
        <w:rPr>
          <w:rFonts w:hint="eastAsia" w:ascii="仿宋" w:hAnsi="仿宋" w:eastAsia="仿宋" w:cs="仿宋"/>
          <w:i w:val="0"/>
          <w:iCs w:val="0"/>
          <w:color w:val="000000" w:themeColor="text1"/>
          <w:kern w:val="0"/>
          <w:sz w:val="32"/>
          <w:szCs w:val="32"/>
          <w:lang w:eastAsia="zh-CN"/>
        </w:rPr>
        <w:t>据实</w:t>
      </w:r>
      <w:r>
        <w:rPr>
          <w:rFonts w:hint="eastAsia" w:ascii="仿宋" w:hAnsi="仿宋" w:eastAsia="仿宋" w:cs="仿宋"/>
          <w:i w:val="0"/>
          <w:iCs w:val="0"/>
          <w:color w:val="000000" w:themeColor="text1"/>
          <w:kern w:val="0"/>
          <w:sz w:val="32"/>
          <w:szCs w:val="32"/>
        </w:rPr>
        <w:t>报销出差期间的汽油费和过桥过路费；凭住宿费和过桥过路费发票发放伙食补助，不再发放市内交通补助费。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30"/>
        <w:jc w:val="both"/>
        <w:textAlignment w:val="auto"/>
        <w:outlineLvl w:val="9"/>
        <w:rPr>
          <w:rFonts w:hint="eastAsia" w:ascii="仿宋" w:hAnsi="仿宋" w:eastAsia="仿宋" w:cs="仿宋"/>
          <w:i/>
          <w:color w:val="000000" w:themeColor="text1"/>
          <w:kern w:val="0"/>
          <w:sz w:val="32"/>
          <w:szCs w:val="32"/>
        </w:rPr>
      </w:pPr>
      <w:r>
        <w:rPr>
          <w:rFonts w:hint="eastAsia" w:ascii="仿宋" w:hAnsi="仿宋" w:eastAsia="仿宋" w:cs="仿宋"/>
          <w:i w:val="0"/>
          <w:iCs w:val="0"/>
          <w:color w:val="000000" w:themeColor="text1"/>
          <w:kern w:val="0"/>
          <w:sz w:val="32"/>
          <w:szCs w:val="32"/>
        </w:rPr>
        <w:t>对于由于自驾车或者租车所引起的安全等</w:t>
      </w:r>
      <w:r>
        <w:rPr>
          <w:rFonts w:hint="eastAsia" w:ascii="仿宋" w:hAnsi="仿宋" w:eastAsia="仿宋" w:cs="仿宋"/>
          <w:i w:val="0"/>
          <w:iCs w:val="0"/>
          <w:color w:val="000000" w:themeColor="text1"/>
          <w:kern w:val="0"/>
          <w:sz w:val="32"/>
          <w:szCs w:val="32"/>
          <w:lang w:eastAsia="zh-CN"/>
        </w:rPr>
        <w:t>一切责任</w:t>
      </w:r>
      <w:r>
        <w:rPr>
          <w:rFonts w:hint="eastAsia" w:ascii="仿宋" w:hAnsi="仿宋" w:eastAsia="仿宋" w:cs="仿宋"/>
          <w:i w:val="0"/>
          <w:iCs w:val="0"/>
          <w:color w:val="000000" w:themeColor="text1"/>
          <w:kern w:val="0"/>
          <w:sz w:val="32"/>
          <w:szCs w:val="32"/>
        </w:rPr>
        <w:t>问题，由经费负责人和出差人员承担。</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第三十条 </w:t>
      </w:r>
      <w:r>
        <w:rPr>
          <w:rFonts w:hint="eastAsia" w:ascii="仿宋" w:hAnsi="仿宋" w:eastAsia="仿宋" w:cs="仿宋"/>
          <w:sz w:val="32"/>
          <w:szCs w:val="32"/>
        </w:rPr>
        <w:t>出差途中各段行程城市间交通费票据应保持连续、完整。如不完整，原则上不发放伙食补助费和市内交通费。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如因特殊情况导致城市间交通费票据不连续或不完整，且申请报销伙食补助费和市内交通费的，分以下情况处理：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（一）对方负担城市间交通费用</w:t>
      </w:r>
      <w:r>
        <w:rPr>
          <w:rFonts w:hint="eastAsia" w:ascii="仿宋" w:hAnsi="仿宋" w:eastAsia="仿宋" w:cs="仿宋"/>
          <w:sz w:val="32"/>
          <w:szCs w:val="32"/>
          <w:lang w:eastAsia="zh-CN"/>
        </w:rPr>
        <w:t>的，须</w:t>
      </w:r>
      <w:r>
        <w:rPr>
          <w:rFonts w:hint="eastAsia" w:ascii="仿宋" w:hAnsi="仿宋" w:eastAsia="仿宋" w:cs="仿宋"/>
          <w:sz w:val="32"/>
          <w:szCs w:val="32"/>
        </w:rPr>
        <w:t>提供相关会议通知、培训通知、邀请函或对方出具有效证明，</w:t>
      </w:r>
      <w:r>
        <w:rPr>
          <w:rFonts w:hint="eastAsia" w:ascii="仿宋" w:hAnsi="仿宋" w:eastAsia="仿宋" w:cs="仿宋"/>
          <w:color w:val="000000"/>
          <w:kern w:val="0"/>
          <w:sz w:val="32"/>
          <w:szCs w:val="32"/>
        </w:rPr>
        <w:t>无法提供有效证明的，出差人员</w:t>
      </w:r>
      <w:r>
        <w:rPr>
          <w:rFonts w:hint="eastAsia" w:ascii="仿宋" w:hAnsi="仿宋" w:eastAsia="仿宋" w:cs="仿宋"/>
          <w:color w:val="000000"/>
          <w:kern w:val="0"/>
          <w:sz w:val="32"/>
          <w:szCs w:val="32"/>
          <w:lang w:eastAsia="zh-CN"/>
        </w:rPr>
        <w:t>须</w:t>
      </w:r>
      <w:r>
        <w:rPr>
          <w:rFonts w:hint="eastAsia" w:ascii="仿宋" w:hAnsi="仿宋" w:eastAsia="仿宋" w:cs="仿宋"/>
          <w:color w:val="000000"/>
          <w:kern w:val="0"/>
          <w:sz w:val="32"/>
          <w:szCs w:val="32"/>
        </w:rPr>
        <w:t>提供书面情况说明，经所在单位审批同意后，</w:t>
      </w:r>
      <w:r>
        <w:rPr>
          <w:rFonts w:hint="eastAsia" w:ascii="仿宋" w:hAnsi="仿宋" w:eastAsia="仿宋" w:cs="仿宋"/>
          <w:sz w:val="32"/>
          <w:szCs w:val="32"/>
        </w:rPr>
        <w:t>可按规定标准发放伙食补助费和市内交通费。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（二）其他情况，须在</w:t>
      </w:r>
      <w:r>
        <w:rPr>
          <w:rFonts w:hint="eastAsia" w:ascii="仿宋" w:hAnsi="仿宋" w:eastAsia="仿宋" w:cs="仿宋"/>
          <w:sz w:val="32"/>
          <w:szCs w:val="32"/>
          <w:lang w:eastAsia="zh-CN"/>
        </w:rPr>
        <w:t>“</w:t>
      </w:r>
      <w:r>
        <w:rPr>
          <w:rFonts w:hint="eastAsia" w:ascii="仿宋" w:hAnsi="仿宋" w:eastAsia="仿宋" w:cs="仿宋"/>
          <w:sz w:val="32"/>
          <w:szCs w:val="32"/>
        </w:rPr>
        <w:t>南京农业大学差旅费报销</w:t>
      </w:r>
      <w:r>
        <w:rPr>
          <w:rFonts w:hint="eastAsia" w:ascii="仿宋" w:hAnsi="仿宋" w:eastAsia="仿宋" w:cs="仿宋"/>
          <w:sz w:val="32"/>
          <w:szCs w:val="32"/>
          <w:lang w:eastAsia="zh-CN"/>
        </w:rPr>
        <w:t>表”</w:t>
      </w:r>
      <w:r>
        <w:rPr>
          <w:rFonts w:hint="eastAsia" w:ascii="仿宋" w:hAnsi="仿宋" w:eastAsia="仿宋" w:cs="仿宋"/>
          <w:sz w:val="32"/>
          <w:szCs w:val="32"/>
        </w:rPr>
        <w:t>中说明票据不完整的当事人、日期、票据种类、金额、原因等信息，经所在单位审批同意后，可按规定标准发放伙食补助费和市内交通费。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第三十一条 </w:t>
      </w:r>
      <w:r>
        <w:rPr>
          <w:rFonts w:hint="eastAsia" w:ascii="仿宋" w:hAnsi="仿宋" w:eastAsia="仿宋" w:cs="仿宋"/>
          <w:sz w:val="32"/>
          <w:szCs w:val="32"/>
        </w:rPr>
        <w:t>参加其他单位举办的会议、培训，凭会议、培训通知和确定的收费标准据实报销会议费、培训费。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第三十二条 </w:t>
      </w:r>
      <w:r>
        <w:rPr>
          <w:rFonts w:hint="eastAsia" w:ascii="仿宋" w:hAnsi="仿宋" w:eastAsia="仿宋" w:cs="仿宋"/>
          <w:sz w:val="32"/>
          <w:szCs w:val="32"/>
        </w:rPr>
        <w:t>工作人员出差期间因私前往其他城市的，城市间交通费按不高于从出差目的地返回单位按规定乘坐相应交通工具的票价予以报销，超出部分由个人自理。伙食补助费和市内交通费发放天数扣除因私前往其他城市的天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第三十三条 </w:t>
      </w:r>
      <w:r>
        <w:rPr>
          <w:rFonts w:hint="eastAsia" w:ascii="仿宋" w:hAnsi="仿宋" w:eastAsia="仿宋" w:cs="仿宋"/>
          <w:sz w:val="32"/>
          <w:szCs w:val="32"/>
        </w:rPr>
        <w:t>对长期、连续出差超过30天及以上，应当提供书面说明</w:t>
      </w:r>
      <w:r>
        <w:rPr>
          <w:rFonts w:hint="eastAsia" w:ascii="仿宋" w:hAnsi="仿宋" w:eastAsia="仿宋" w:cs="仿宋"/>
          <w:sz w:val="32"/>
          <w:szCs w:val="32"/>
          <w:lang w:eastAsia="zh-CN"/>
        </w:rPr>
        <w:t>并经</w:t>
      </w:r>
      <w:r>
        <w:rPr>
          <w:rFonts w:hint="eastAsia" w:ascii="仿宋" w:hAnsi="仿宋" w:eastAsia="仿宋" w:cs="仿宋"/>
          <w:sz w:val="32"/>
          <w:szCs w:val="32"/>
        </w:rPr>
        <w:t>所在单位</w:t>
      </w:r>
      <w:r>
        <w:rPr>
          <w:rFonts w:hint="eastAsia" w:ascii="仿宋" w:hAnsi="仿宋" w:eastAsia="仿宋" w:cs="仿宋"/>
          <w:sz w:val="32"/>
          <w:szCs w:val="32"/>
          <w:lang w:eastAsia="zh-CN"/>
        </w:rPr>
        <w:t>审批同意</w:t>
      </w:r>
      <w:r>
        <w:rPr>
          <w:rFonts w:hint="eastAsia" w:ascii="仿宋" w:hAnsi="仿宋" w:eastAsia="仿宋" w:cs="仿宋"/>
          <w:sz w:val="32"/>
          <w:szCs w:val="32"/>
        </w:rPr>
        <w:t>后，方可计算发放出差期间的伙食补助费和市内交通费，否则各项出差费用只按票面金额报销。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30" w:firstLineChars="196"/>
        <w:jc w:val="both"/>
        <w:textAlignment w:val="auto"/>
        <w:outlineLvl w:val="9"/>
        <w:rPr>
          <w:rFonts w:hint="eastAsia" w:ascii="仿宋" w:hAnsi="仿宋" w:eastAsia="仿宋" w:cs="仿宋"/>
          <w:i w:val="0"/>
          <w:iCs/>
          <w:color w:val="auto"/>
          <w:sz w:val="32"/>
          <w:szCs w:val="32"/>
        </w:rPr>
      </w:pPr>
      <w:r>
        <w:rPr>
          <w:rFonts w:hint="eastAsia" w:ascii="仿宋" w:hAnsi="仿宋" w:eastAsia="仿宋" w:cs="仿宋"/>
          <w:b/>
          <w:sz w:val="32"/>
          <w:szCs w:val="32"/>
        </w:rPr>
        <w:t xml:space="preserve">第三十四条 </w:t>
      </w:r>
      <w:r>
        <w:rPr>
          <w:rFonts w:hint="eastAsia" w:ascii="仿宋" w:hAnsi="仿宋" w:eastAsia="仿宋" w:cs="仿宋"/>
          <w:i w:val="0"/>
          <w:iCs/>
          <w:color w:val="auto"/>
          <w:sz w:val="32"/>
          <w:szCs w:val="32"/>
        </w:rPr>
        <w:t>出差工作过程中遇到的紧急、特殊</w:t>
      </w:r>
      <w:r>
        <w:rPr>
          <w:rFonts w:hint="eastAsia" w:ascii="仿宋" w:hAnsi="仿宋" w:eastAsia="仿宋" w:cs="仿宋"/>
          <w:i w:val="0"/>
          <w:iCs/>
          <w:color w:val="auto"/>
          <w:sz w:val="32"/>
          <w:szCs w:val="32"/>
          <w:lang w:eastAsia="zh-CN"/>
        </w:rPr>
        <w:t>情况</w:t>
      </w:r>
      <w:r>
        <w:rPr>
          <w:rFonts w:hint="eastAsia" w:ascii="仿宋" w:hAnsi="仿宋" w:eastAsia="仿宋" w:cs="仿宋"/>
          <w:i w:val="0"/>
          <w:iCs/>
          <w:color w:val="auto"/>
          <w:sz w:val="32"/>
          <w:szCs w:val="32"/>
        </w:rPr>
        <w:t>，出差人</w:t>
      </w:r>
      <w:r>
        <w:rPr>
          <w:rFonts w:hint="eastAsia" w:ascii="仿宋" w:hAnsi="仿宋" w:eastAsia="仿宋" w:cs="仿宋"/>
          <w:i w:val="0"/>
          <w:iCs/>
          <w:color w:val="auto"/>
          <w:sz w:val="32"/>
          <w:szCs w:val="32"/>
          <w:lang w:eastAsia="zh-CN"/>
        </w:rPr>
        <w:t>员须据实</w:t>
      </w:r>
      <w:r>
        <w:rPr>
          <w:rFonts w:hint="eastAsia" w:ascii="仿宋" w:hAnsi="仿宋" w:eastAsia="仿宋" w:cs="仿宋"/>
          <w:i w:val="0"/>
          <w:iCs/>
          <w:color w:val="auto"/>
          <w:sz w:val="32"/>
          <w:szCs w:val="32"/>
        </w:rPr>
        <w:t>提交情况说明，经所在单位审批、计财处审核同意后</w:t>
      </w:r>
      <w:r>
        <w:rPr>
          <w:rFonts w:hint="eastAsia" w:ascii="仿宋" w:hAnsi="仿宋" w:eastAsia="仿宋" w:cs="仿宋"/>
          <w:i w:val="0"/>
          <w:iCs/>
          <w:color w:val="auto"/>
          <w:sz w:val="32"/>
          <w:szCs w:val="32"/>
          <w:lang w:eastAsia="zh-CN"/>
        </w:rPr>
        <w:t>予以</w:t>
      </w:r>
      <w:r>
        <w:rPr>
          <w:rFonts w:hint="eastAsia" w:ascii="仿宋" w:hAnsi="仿宋" w:eastAsia="仿宋" w:cs="仿宋"/>
          <w:i w:val="0"/>
          <w:iCs/>
          <w:color w:val="auto"/>
          <w:sz w:val="32"/>
          <w:szCs w:val="32"/>
        </w:rPr>
        <w:t>报销。</w:t>
      </w:r>
    </w:p>
    <w:p>
      <w:pPr>
        <w:pStyle w:val="2"/>
        <w:rPr>
          <w:rFonts w:hint="eastAsia"/>
          <w:lang w:val="en-US" w:eastAsia="zh-CN"/>
        </w:rPr>
      </w:pPr>
      <w:r>
        <w:rPr>
          <w:rFonts w:hint="eastAsia"/>
          <w:lang w:val="en-US" w:eastAsia="zh-CN"/>
        </w:rPr>
        <w:t>第八章　监督与问责</w:t>
      </w:r>
    </w:p>
    <w:p>
      <w:pPr>
        <w:pStyle w:val="14"/>
        <w:keepNext w:val="0"/>
        <w:keepLines w:val="0"/>
        <w:pageBreakBefore w:val="0"/>
        <w:widowControl w:val="0"/>
        <w:kinsoku/>
        <w:wordWrap/>
        <w:overflowPunct/>
        <w:topLinePunct w:val="0"/>
        <w:bidi w:val="0"/>
        <w:snapToGrid/>
        <w:spacing w:line="360" w:lineRule="auto"/>
        <w:ind w:right="0"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第三十五条 </w:t>
      </w:r>
      <w:r>
        <w:rPr>
          <w:rFonts w:hint="eastAsia" w:ascii="仿宋" w:hAnsi="仿宋" w:eastAsia="仿宋" w:cs="仿宋"/>
          <w:sz w:val="32"/>
          <w:szCs w:val="32"/>
        </w:rPr>
        <w:t>各院系、部门、单位要加强出差人员出差活动和经费报销的内控管理。各单位负责人（经费负责人）、经办人</w:t>
      </w:r>
      <w:r>
        <w:rPr>
          <w:rFonts w:hint="eastAsia" w:ascii="仿宋" w:hAnsi="仿宋" w:eastAsia="仿宋" w:cs="仿宋"/>
          <w:sz w:val="32"/>
          <w:szCs w:val="32"/>
          <w:lang w:eastAsia="zh-CN"/>
        </w:rPr>
        <w:t>应</w:t>
      </w:r>
      <w:r>
        <w:rPr>
          <w:rFonts w:hint="eastAsia" w:ascii="仿宋" w:hAnsi="仿宋" w:eastAsia="仿宋" w:cs="仿宋"/>
          <w:sz w:val="32"/>
          <w:szCs w:val="32"/>
        </w:rPr>
        <w:t>确保票据来源合法、合规，内容真实完整。财务人员应对差旅费报销进行审核把关，对于不按规定开支的费用不予报销。</w:t>
      </w:r>
    </w:p>
    <w:p>
      <w:pPr>
        <w:pStyle w:val="14"/>
        <w:keepNext w:val="0"/>
        <w:keepLines w:val="0"/>
        <w:pageBreakBefore w:val="0"/>
        <w:widowControl w:val="0"/>
        <w:kinsoku/>
        <w:wordWrap/>
        <w:overflowPunct/>
        <w:topLinePunct w:val="0"/>
        <w:bidi w:val="0"/>
        <w:snapToGrid/>
        <w:spacing w:line="360" w:lineRule="auto"/>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各院系、部门、单位应当自觉接受审计部门对出差活动及相关经费支出的审计监督。</w:t>
      </w:r>
    </w:p>
    <w:p>
      <w:pPr>
        <w:pStyle w:val="14"/>
        <w:keepNext w:val="0"/>
        <w:keepLines w:val="0"/>
        <w:pageBreakBefore w:val="0"/>
        <w:widowControl w:val="0"/>
        <w:kinsoku/>
        <w:wordWrap/>
        <w:overflowPunct/>
        <w:topLinePunct w:val="0"/>
        <w:bidi w:val="0"/>
        <w:snapToGrid/>
        <w:spacing w:line="360" w:lineRule="auto"/>
        <w:ind w:right="0"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第三十六条 </w:t>
      </w:r>
      <w:r>
        <w:rPr>
          <w:rFonts w:hint="eastAsia" w:ascii="仿宋" w:hAnsi="仿宋" w:eastAsia="仿宋" w:cs="仿宋"/>
          <w:sz w:val="32"/>
          <w:szCs w:val="32"/>
        </w:rPr>
        <w:t>出差人员不得向接待单位提出正常公务活动以外的要求，不得在出差期间接受违反规定用公款支付的宴请、游览和非工作需要的参观，不得接受礼品、礼金和土特产品等。</w:t>
      </w:r>
    </w:p>
    <w:p>
      <w:pPr>
        <w:pStyle w:val="14"/>
        <w:keepNext w:val="0"/>
        <w:keepLines w:val="0"/>
        <w:pageBreakBefore w:val="0"/>
        <w:widowControl w:val="0"/>
        <w:kinsoku/>
        <w:wordWrap/>
        <w:overflowPunct/>
        <w:topLinePunct w:val="0"/>
        <w:bidi w:val="0"/>
        <w:snapToGrid/>
        <w:spacing w:line="360" w:lineRule="auto"/>
        <w:ind w:right="0"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第三十七条 </w:t>
      </w:r>
      <w:r>
        <w:rPr>
          <w:rFonts w:hint="eastAsia" w:ascii="仿宋" w:hAnsi="仿宋" w:eastAsia="仿宋" w:cs="仿宋"/>
          <w:sz w:val="32"/>
          <w:szCs w:val="32"/>
        </w:rPr>
        <w:t>违反本办法规定，有下列行为之一的，依法依规追究相关单位和人员的责任：</w:t>
      </w:r>
    </w:p>
    <w:p>
      <w:pPr>
        <w:pStyle w:val="14"/>
        <w:keepNext w:val="0"/>
        <w:keepLines w:val="0"/>
        <w:pageBreakBefore w:val="0"/>
        <w:widowControl w:val="0"/>
        <w:kinsoku/>
        <w:wordWrap/>
        <w:overflowPunct/>
        <w:topLinePunct w:val="0"/>
        <w:bidi w:val="0"/>
        <w:snapToGrid/>
        <w:spacing w:line="360" w:lineRule="auto"/>
        <w:ind w:left="638" w:leftChars="304"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（一）虚报出差人数、天数等信息冒领差旅费的；</w:t>
      </w:r>
    </w:p>
    <w:p>
      <w:pPr>
        <w:pStyle w:val="14"/>
        <w:keepNext w:val="0"/>
        <w:keepLines w:val="0"/>
        <w:pageBreakBefore w:val="0"/>
        <w:widowControl w:val="0"/>
        <w:kinsoku/>
        <w:wordWrap/>
        <w:overflowPunct/>
        <w:topLinePunct w:val="0"/>
        <w:bidi w:val="0"/>
        <w:snapToGrid/>
        <w:spacing w:line="360" w:lineRule="auto"/>
        <w:ind w:left="479" w:leftChars="228" w:right="0" w:rightChars="0" w:firstLine="160" w:firstLineChars="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（二）擅自扩大差旅费开支范围、提高开支标准的；</w:t>
      </w:r>
    </w:p>
    <w:p>
      <w:pPr>
        <w:pStyle w:val="14"/>
        <w:keepNext w:val="0"/>
        <w:keepLines w:val="0"/>
        <w:pageBreakBefore w:val="0"/>
        <w:widowControl w:val="0"/>
        <w:kinsoku/>
        <w:wordWrap/>
        <w:overflowPunct/>
        <w:topLinePunct w:val="0"/>
        <w:bidi w:val="0"/>
        <w:snapToGrid/>
        <w:spacing w:line="360" w:lineRule="auto"/>
        <w:ind w:left="479" w:leftChars="228" w:right="0" w:rightChars="0" w:firstLine="160" w:firstLineChars="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（三）已全部或部分由外单位负担，重复报销差旅费的；</w:t>
      </w:r>
    </w:p>
    <w:p>
      <w:pPr>
        <w:pStyle w:val="14"/>
        <w:keepNext w:val="0"/>
        <w:keepLines w:val="0"/>
        <w:pageBreakBefore w:val="0"/>
        <w:widowControl w:val="0"/>
        <w:kinsoku/>
        <w:wordWrap/>
        <w:overflowPunct/>
        <w:topLinePunct w:val="0"/>
        <w:bidi w:val="0"/>
        <w:snapToGrid/>
        <w:spacing w:line="360" w:lineRule="auto"/>
        <w:ind w:left="479" w:leftChars="228" w:right="0" w:rightChars="0" w:firstLine="160" w:firstLineChars="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（四）在差旅费中报销应由个人承担的费用的；</w:t>
      </w:r>
    </w:p>
    <w:p>
      <w:pPr>
        <w:pStyle w:val="14"/>
        <w:keepNext w:val="0"/>
        <w:keepLines w:val="0"/>
        <w:pageBreakBefore w:val="0"/>
        <w:widowControl w:val="0"/>
        <w:kinsoku/>
        <w:wordWrap/>
        <w:overflowPunct/>
        <w:topLinePunct w:val="0"/>
        <w:bidi w:val="0"/>
        <w:snapToGrid/>
        <w:spacing w:line="360" w:lineRule="auto"/>
        <w:ind w:left="479" w:leftChars="228" w:right="0" w:rightChars="0" w:firstLine="160" w:firstLineChars="5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（五）其他违反本办法行为的。</w:t>
      </w:r>
    </w:p>
    <w:p>
      <w:pPr>
        <w:keepNext w:val="0"/>
        <w:keepLines w:val="0"/>
        <w:pageBreakBefore w:val="0"/>
        <w:widowControl w:val="0"/>
        <w:kinsoku/>
        <w:wordWrap/>
        <w:overflowPunct/>
        <w:topLinePunct w:val="0"/>
        <w:bidi w:val="0"/>
        <w:snapToGrid/>
        <w:spacing w:line="360" w:lineRule="auto"/>
        <w:ind w:right="0" w:rightChars="0"/>
        <w:jc w:val="left"/>
        <w:textAlignment w:val="auto"/>
        <w:outlineLvl w:val="9"/>
        <w:rPr>
          <w:rFonts w:hint="eastAsia" w:ascii="仿宋" w:hAnsi="仿宋" w:eastAsia="仿宋" w:cs="仿宋"/>
          <w:b/>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有</w:t>
      </w:r>
      <w:r>
        <w:rPr>
          <w:rFonts w:hint="eastAsia" w:ascii="仿宋" w:hAnsi="仿宋" w:eastAsia="仿宋" w:cs="仿宋"/>
          <w:sz w:val="32"/>
          <w:szCs w:val="32"/>
          <w:lang w:eastAsia="zh-CN"/>
        </w:rPr>
        <w:t>上述</w:t>
      </w:r>
      <w:r>
        <w:rPr>
          <w:rFonts w:hint="eastAsia" w:ascii="仿宋" w:hAnsi="仿宋" w:eastAsia="仿宋" w:cs="仿宋"/>
          <w:sz w:val="32"/>
          <w:szCs w:val="32"/>
        </w:rPr>
        <w:t>所列行为之一的，由学校有关部门责令改正，涉及违规资金的，予以追回，并视情况予以通报。对直接责任人和相关负责人，报请学校按规定给予相应处分。涉嫌违法的，移交司法机关处理。</w:t>
      </w:r>
    </w:p>
    <w:p>
      <w:pPr>
        <w:pStyle w:val="2"/>
        <w:rPr>
          <w:rFonts w:hint="eastAsia"/>
          <w:lang w:val="en-US" w:eastAsia="zh-CN"/>
        </w:rPr>
      </w:pPr>
      <w:r>
        <w:rPr>
          <w:rFonts w:hint="eastAsia"/>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32"/>
          <w:szCs w:val="32"/>
        </w:rPr>
      </w:pPr>
      <w:r>
        <w:rPr>
          <w:rFonts w:hint="eastAsia" w:ascii="仿宋_GB2312" w:hAnsi="仿宋" w:eastAsia="仿宋_GB2312" w:cs="仿宋"/>
          <w:sz w:val="32"/>
          <w:szCs w:val="32"/>
        </w:rPr>
        <w:t>　　</w:t>
      </w:r>
      <w:r>
        <w:rPr>
          <w:rFonts w:hint="eastAsia" w:ascii="仿宋" w:hAnsi="仿宋" w:eastAsia="仿宋" w:cs="仿宋"/>
          <w:b/>
          <w:sz w:val="32"/>
          <w:szCs w:val="32"/>
        </w:rPr>
        <w:t xml:space="preserve">第三十八条 </w:t>
      </w:r>
      <w:r>
        <w:rPr>
          <w:rFonts w:hint="eastAsia" w:ascii="仿宋" w:hAnsi="仿宋" w:eastAsia="仿宋" w:cs="仿宋"/>
          <w:sz w:val="32"/>
          <w:szCs w:val="32"/>
        </w:rPr>
        <w:t>本办法由计财处负责解释。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第三十九条 </w:t>
      </w:r>
      <w:r>
        <w:rPr>
          <w:rFonts w:hint="eastAsia" w:ascii="仿宋" w:hAnsi="仿宋" w:eastAsia="仿宋" w:cs="仿宋"/>
          <w:sz w:val="32"/>
          <w:szCs w:val="32"/>
        </w:rPr>
        <w:t>本办法自印发之日起</w:t>
      </w:r>
      <w:r>
        <w:rPr>
          <w:rFonts w:hint="eastAsia" w:ascii="仿宋" w:hAnsi="仿宋" w:eastAsia="仿宋" w:cs="仿宋"/>
          <w:sz w:val="32"/>
          <w:szCs w:val="32"/>
          <w:lang w:eastAsia="zh-CN"/>
        </w:rPr>
        <w:t>施</w:t>
      </w:r>
      <w:r>
        <w:rPr>
          <w:rFonts w:hint="eastAsia" w:ascii="仿宋" w:hAnsi="仿宋" w:eastAsia="仿宋" w:cs="仿宋"/>
          <w:sz w:val="32"/>
          <w:szCs w:val="32"/>
        </w:rPr>
        <w:t>行，</w:t>
      </w:r>
      <w:r>
        <w:rPr>
          <w:rFonts w:hint="eastAsia" w:ascii="仿宋" w:hAnsi="仿宋" w:eastAsia="仿宋" w:cs="仿宋"/>
          <w:sz w:val="32"/>
          <w:szCs w:val="32"/>
          <w:lang w:eastAsia="zh-CN"/>
        </w:rPr>
        <w:t>《南京农业大学差旅费报销规定》（校计财发</w:t>
      </w: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254号</w:t>
      </w:r>
      <w:r>
        <w:rPr>
          <w:rFonts w:hint="eastAsia" w:ascii="仿宋" w:hAnsi="仿宋" w:eastAsia="仿宋" w:cs="仿宋"/>
          <w:sz w:val="32"/>
          <w:szCs w:val="32"/>
          <w:lang w:eastAsia="zh-CN"/>
        </w:rPr>
        <w:t>）</w:t>
      </w:r>
      <w:r>
        <w:rPr>
          <w:rFonts w:hint="eastAsia" w:ascii="仿宋" w:hAnsi="仿宋" w:eastAsia="仿宋" w:cs="仿宋"/>
          <w:sz w:val="32"/>
          <w:szCs w:val="32"/>
        </w:rPr>
        <w:t>同时废止。</w:t>
      </w: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ind w:firstLine="642"/>
        <w:rPr>
          <w:rFonts w:hint="eastAsia" w:ascii="仿宋_GB2312" w:hAnsi="宋体" w:eastAsia="仿宋_GB2312" w:cs="仿宋"/>
          <w:sz w:val="32"/>
          <w:szCs w:val="32"/>
        </w:rPr>
      </w:pPr>
    </w:p>
    <w:p>
      <w:pPr>
        <w:spacing w:line="360" w:lineRule="auto"/>
        <w:rPr>
          <w:rFonts w:ascii="仿宋_GB2312" w:hAnsi="仿宋" w:eastAsia="仿宋_GB2312" w:cs="仿宋"/>
          <w:sz w:val="32"/>
          <w:szCs w:val="32"/>
        </w:rPr>
      </w:pPr>
      <w:r>
        <w:rPr>
          <w:rFonts w:hint="eastAsia" w:ascii="仿宋_GB2312" w:hAnsi="仿宋" w:eastAsia="仿宋_GB2312" w:cs="仿宋"/>
          <w:sz w:val="32"/>
          <w:szCs w:val="32"/>
        </w:rPr>
        <w:t>附件1：</w:t>
      </w:r>
    </w:p>
    <w:tbl>
      <w:tblPr>
        <w:tblStyle w:val="9"/>
        <w:tblW w:w="9656" w:type="dxa"/>
        <w:tblInd w:w="0" w:type="dxa"/>
        <w:tblLayout w:type="fixed"/>
        <w:tblCellMar>
          <w:top w:w="15" w:type="dxa"/>
          <w:left w:w="15" w:type="dxa"/>
          <w:bottom w:w="15" w:type="dxa"/>
          <w:right w:w="15" w:type="dxa"/>
        </w:tblCellMar>
      </w:tblPr>
      <w:tblGrid>
        <w:gridCol w:w="577"/>
        <w:gridCol w:w="1160"/>
        <w:gridCol w:w="1029"/>
        <w:gridCol w:w="678"/>
        <w:gridCol w:w="1040"/>
        <w:gridCol w:w="1986"/>
        <w:gridCol w:w="1044"/>
        <w:gridCol w:w="652"/>
        <w:gridCol w:w="634"/>
        <w:gridCol w:w="856"/>
      </w:tblGrid>
      <w:tr>
        <w:tblPrEx>
          <w:tblLayout w:type="fixed"/>
          <w:tblCellMar>
            <w:top w:w="15" w:type="dxa"/>
            <w:left w:w="15" w:type="dxa"/>
            <w:bottom w:w="15" w:type="dxa"/>
            <w:right w:w="15" w:type="dxa"/>
          </w:tblCellMar>
        </w:tblPrEx>
        <w:trPr>
          <w:trHeight w:val="675" w:hRule="atLeast"/>
        </w:trPr>
        <w:tc>
          <w:tcPr>
            <w:tcW w:w="9656" w:type="dxa"/>
            <w:gridSpan w:val="10"/>
            <w:shd w:val="clear" w:color="auto" w:fill="FFFFFF"/>
            <w:vAlign w:val="center"/>
          </w:tcPr>
          <w:p>
            <w:pPr>
              <w:widowControl/>
              <w:jc w:val="center"/>
              <w:textAlignment w:val="center"/>
              <w:rPr>
                <w:rFonts w:ascii="黑体" w:hAnsi="宋体" w:eastAsia="黑体" w:cs="黑体"/>
                <w:color w:val="000000"/>
                <w:sz w:val="40"/>
                <w:szCs w:val="40"/>
              </w:rPr>
            </w:pPr>
            <w:r>
              <w:rPr>
                <w:rFonts w:hint="eastAsia" w:ascii="华文中宋" w:hAnsi="华文中宋" w:eastAsia="华文中宋" w:cs="华文中宋"/>
                <w:color w:val="000000"/>
                <w:kern w:val="0"/>
                <w:sz w:val="36"/>
                <w:szCs w:val="36"/>
              </w:rPr>
              <w:t>南京农业大学国内差旅住宿费限额标准明细表</w:t>
            </w:r>
          </w:p>
        </w:tc>
      </w:tr>
      <w:tr>
        <w:tblPrEx>
          <w:tblLayout w:type="fixed"/>
          <w:tblCellMar>
            <w:top w:w="15" w:type="dxa"/>
            <w:left w:w="15" w:type="dxa"/>
            <w:bottom w:w="15" w:type="dxa"/>
            <w:right w:w="15" w:type="dxa"/>
          </w:tblCellMar>
        </w:tblPrEx>
        <w:trPr>
          <w:trHeight w:val="240" w:hRule="atLeast"/>
        </w:trPr>
        <w:tc>
          <w:tcPr>
            <w:tcW w:w="577" w:type="dxa"/>
            <w:tcBorders>
              <w:bottom w:val="single" w:color="auto" w:sz="4" w:space="0"/>
            </w:tcBorders>
            <w:shd w:val="clear" w:color="auto" w:fill="auto"/>
            <w:vAlign w:val="bottom"/>
          </w:tcPr>
          <w:p>
            <w:pPr>
              <w:rPr>
                <w:rFonts w:ascii="宋体" w:hAnsi="宋体" w:cs="宋体"/>
                <w:color w:val="000000"/>
                <w:sz w:val="22"/>
                <w:szCs w:val="22"/>
              </w:rPr>
            </w:pPr>
          </w:p>
        </w:tc>
        <w:tc>
          <w:tcPr>
            <w:tcW w:w="1160" w:type="dxa"/>
            <w:tcBorders>
              <w:bottom w:val="single" w:color="auto" w:sz="4" w:space="0"/>
            </w:tcBorders>
            <w:shd w:val="clear" w:color="auto" w:fill="auto"/>
            <w:vAlign w:val="bottom"/>
          </w:tcPr>
          <w:p>
            <w:pPr>
              <w:rPr>
                <w:rFonts w:ascii="宋体" w:hAnsi="宋体" w:cs="宋体"/>
                <w:color w:val="000000"/>
                <w:sz w:val="22"/>
                <w:szCs w:val="22"/>
              </w:rPr>
            </w:pPr>
          </w:p>
        </w:tc>
        <w:tc>
          <w:tcPr>
            <w:tcW w:w="7919" w:type="dxa"/>
            <w:gridSpan w:val="8"/>
            <w:tcBorders>
              <w:bottom w:val="single" w:color="auto" w:sz="4" w:space="0"/>
            </w:tcBorders>
            <w:shd w:val="clear" w:color="auto" w:fill="FFFFFF"/>
            <w:vAlign w:val="bottom"/>
          </w:tcPr>
          <w:p>
            <w:pPr>
              <w:widowControl/>
              <w:jc w:val="right"/>
              <w:textAlignment w:val="bottom"/>
              <w:rPr>
                <w:rFonts w:ascii="宋体" w:hAnsi="宋体" w:cs="宋体"/>
                <w:color w:val="000000"/>
                <w:sz w:val="20"/>
              </w:rPr>
            </w:pPr>
            <w:r>
              <w:rPr>
                <w:rFonts w:hint="eastAsia" w:ascii="宋体" w:hAnsi="宋体" w:cs="宋体"/>
                <w:color w:val="000000"/>
                <w:kern w:val="0"/>
                <w:sz w:val="20"/>
              </w:rPr>
              <w:t>单位:元/人·天</w:t>
            </w:r>
          </w:p>
        </w:tc>
      </w:tr>
      <w:tr>
        <w:tblPrEx>
          <w:tblLayout w:type="fixed"/>
          <w:tblCellMar>
            <w:top w:w="15" w:type="dxa"/>
            <w:left w:w="15" w:type="dxa"/>
            <w:bottom w:w="15" w:type="dxa"/>
            <w:right w:w="15" w:type="dxa"/>
          </w:tblCellMar>
        </w:tblPrEx>
        <w:trPr>
          <w:trHeight w:val="315" w:hRule="atLeast"/>
        </w:trPr>
        <w:tc>
          <w:tcPr>
            <w:tcW w:w="577"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序号</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省、直辖市</w:t>
            </w:r>
          </w:p>
        </w:tc>
        <w:tc>
          <w:tcPr>
            <w:tcW w:w="2747"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住宿费标准</w:t>
            </w:r>
          </w:p>
        </w:tc>
        <w:tc>
          <w:tcPr>
            <w:tcW w:w="198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旺季地区</w:t>
            </w:r>
          </w:p>
        </w:tc>
        <w:tc>
          <w:tcPr>
            <w:tcW w:w="318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旺季浮动标准</w:t>
            </w:r>
          </w:p>
        </w:tc>
      </w:tr>
      <w:tr>
        <w:tblPrEx>
          <w:tblLayout w:type="fixed"/>
          <w:tblCellMar>
            <w:top w:w="15" w:type="dxa"/>
            <w:left w:w="15" w:type="dxa"/>
            <w:bottom w:w="15" w:type="dxa"/>
            <w:right w:w="15" w:type="dxa"/>
          </w:tblCellMar>
        </w:tblPrEx>
        <w:trPr>
          <w:trHeight w:val="330" w:hRule="atLeast"/>
        </w:trPr>
        <w:tc>
          <w:tcPr>
            <w:tcW w:w="577"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jc w:val="center"/>
              <w:rPr>
                <w:rFonts w:ascii="宋体" w:hAnsi="宋体" w:cs="宋体"/>
                <w:b/>
                <w:color w:val="000000"/>
                <w:sz w:val="20"/>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2747"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19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104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旺季期间</w:t>
            </w:r>
          </w:p>
        </w:tc>
        <w:tc>
          <w:tcPr>
            <w:tcW w:w="214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旺季上浮价</w:t>
            </w:r>
          </w:p>
        </w:tc>
      </w:tr>
      <w:tr>
        <w:tblPrEx>
          <w:tblLayout w:type="fixed"/>
          <w:tblCellMar>
            <w:top w:w="15" w:type="dxa"/>
            <w:left w:w="15" w:type="dxa"/>
            <w:bottom w:w="15" w:type="dxa"/>
            <w:right w:w="15" w:type="dxa"/>
          </w:tblCellMar>
        </w:tblPrEx>
        <w:trPr>
          <w:trHeight w:val="585" w:hRule="atLeast"/>
        </w:trPr>
        <w:tc>
          <w:tcPr>
            <w:tcW w:w="577"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jc w:val="center"/>
              <w:rPr>
                <w:rFonts w:ascii="宋体" w:hAnsi="宋体" w:cs="宋体"/>
                <w:b/>
                <w:color w:val="000000"/>
                <w:sz w:val="20"/>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一类</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二类</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三类</w:t>
            </w:r>
          </w:p>
        </w:tc>
        <w:tc>
          <w:tcPr>
            <w:tcW w:w="198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一类</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二类</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三类</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北京</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天津</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9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河北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秦皇岛市、张家口市、</w:t>
            </w:r>
          </w:p>
          <w:p>
            <w:pPr>
              <w:widowControl/>
              <w:jc w:val="center"/>
              <w:textAlignment w:val="center"/>
              <w:rPr>
                <w:rFonts w:ascii="宋体" w:hAnsi="宋体" w:cs="宋体"/>
                <w:color w:val="000000"/>
                <w:sz w:val="20"/>
              </w:rPr>
            </w:pPr>
            <w:r>
              <w:rPr>
                <w:rFonts w:hint="eastAsia" w:ascii="宋体" w:hAnsi="宋体" w:cs="宋体"/>
                <w:color w:val="000000"/>
                <w:kern w:val="0"/>
                <w:sz w:val="20"/>
              </w:rPr>
              <w:t>承德市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7-9</w:t>
            </w:r>
            <w:r>
              <w:rPr>
                <w:rStyle w:val="15"/>
                <w:rFonts w:hint="default"/>
              </w:rPr>
              <w:t>月、11-3月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680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580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山西</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73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内蒙古</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海拉尔市、满洲里市、阿尔山市、二连浩特市、额济纳旗</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r>
              <w:rPr>
                <w:rStyle w:val="15"/>
                <w:rFonts w:hint="default"/>
              </w:rPr>
              <w:t>-9月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690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辽宁</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大连市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960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590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420</w:t>
            </w:r>
          </w:p>
        </w:tc>
      </w:tr>
      <w:tr>
        <w:tblPrEx>
          <w:tblLayout w:type="fixed"/>
          <w:tblCellMar>
            <w:top w:w="15" w:type="dxa"/>
            <w:left w:w="15" w:type="dxa"/>
            <w:bottom w:w="15" w:type="dxa"/>
            <w:right w:w="15" w:type="dxa"/>
          </w:tblCellMar>
        </w:tblPrEx>
        <w:trPr>
          <w:trHeight w:val="49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吉林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吉林市、延边州、长白山管理区</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r>
              <w:rPr>
                <w:rStyle w:val="15"/>
                <w:rFonts w:hint="default"/>
              </w:rPr>
              <w:t>-9月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960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540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黑龙江</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哈尔滨市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960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540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上海</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江苏</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浙江</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安徽</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福建</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厦门</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900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江西</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9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山东</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烟台市、威海市、</w:t>
            </w:r>
          </w:p>
          <w:p>
            <w:pPr>
              <w:widowControl/>
              <w:jc w:val="center"/>
              <w:textAlignment w:val="center"/>
              <w:rPr>
                <w:rFonts w:ascii="宋体" w:hAnsi="宋体" w:cs="宋体"/>
                <w:color w:val="000000"/>
                <w:sz w:val="20"/>
              </w:rPr>
            </w:pPr>
            <w:r>
              <w:rPr>
                <w:rFonts w:hint="eastAsia" w:ascii="宋体" w:hAnsi="宋体" w:cs="宋体"/>
                <w:color w:val="000000"/>
                <w:kern w:val="0"/>
                <w:sz w:val="20"/>
              </w:rPr>
              <w:t>日照市、青岛市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r>
              <w:rPr>
                <w:rStyle w:val="15"/>
                <w:rFonts w:hint="default"/>
              </w:rPr>
              <w:t>-9月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960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590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河南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洛阳市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r>
              <w:rPr>
                <w:rStyle w:val="15"/>
                <w:rFonts w:hint="default"/>
              </w:rPr>
              <w:t>-5月上旬</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720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湖北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湖南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广东</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深圳</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550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450"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广西</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桂林市、北海市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1-2月、</w:t>
            </w:r>
            <w:r>
              <w:rPr>
                <w:rFonts w:hint="eastAsia" w:ascii="宋体" w:hAnsi="宋体" w:cs="宋体"/>
                <w:color w:val="000000"/>
                <w:kern w:val="0"/>
                <w:sz w:val="20"/>
              </w:rPr>
              <w:br w:type="textWrapping"/>
            </w:r>
            <w:r>
              <w:rPr>
                <w:rFonts w:hint="eastAsia" w:ascii="宋体" w:hAnsi="宋体" w:cs="宋体"/>
                <w:color w:val="000000"/>
                <w:kern w:val="0"/>
                <w:sz w:val="20"/>
              </w:rPr>
              <w:t>7-9月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1040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610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430</w:t>
            </w:r>
          </w:p>
        </w:tc>
      </w:tr>
      <w:tr>
        <w:tblPrEx>
          <w:tblLayout w:type="fixed"/>
          <w:tblCellMar>
            <w:top w:w="15" w:type="dxa"/>
            <w:left w:w="15" w:type="dxa"/>
            <w:bottom w:w="15" w:type="dxa"/>
            <w:right w:w="15" w:type="dxa"/>
          </w:tblCellMar>
        </w:tblPrEx>
        <w:trPr>
          <w:trHeight w:val="67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23</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海南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1000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海口市、文昌市、</w:t>
            </w:r>
            <w:r>
              <w:rPr>
                <w:rFonts w:hint="eastAsia" w:ascii="宋体" w:hAnsi="宋体" w:cs="宋体"/>
                <w:color w:val="000000"/>
                <w:kern w:val="0"/>
                <w:sz w:val="20"/>
              </w:rPr>
              <w:br w:type="textWrapping"/>
            </w:r>
            <w:r>
              <w:rPr>
                <w:rFonts w:hint="eastAsia" w:ascii="宋体" w:hAnsi="宋体" w:cs="宋体"/>
                <w:color w:val="000000"/>
                <w:kern w:val="0"/>
                <w:sz w:val="20"/>
              </w:rPr>
              <w:t>澄迈县、琼海市、万宁市、三亚市</w:t>
            </w:r>
            <w:r>
              <w:rPr>
                <w:rFonts w:hint="eastAsia" w:ascii="宋体" w:hAnsi="宋体" w:cs="宋体"/>
                <w:color w:val="000000"/>
                <w:kern w:val="0"/>
                <w:sz w:val="20"/>
              </w:rPr>
              <w:br w:type="textWrapping"/>
            </w:r>
            <w:r>
              <w:rPr>
                <w:rFonts w:hint="eastAsia" w:ascii="宋体" w:hAnsi="宋体" w:cs="宋体"/>
                <w:color w:val="000000"/>
                <w:kern w:val="0"/>
                <w:sz w:val="20"/>
              </w:rPr>
              <w:t>陵水县、保亭县</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r>
              <w:rPr>
                <w:rStyle w:val="15"/>
                <w:rFonts w:hint="default"/>
              </w:rPr>
              <w:t>0-4月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720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重庆</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四川</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26</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贵州</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27</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云南</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900</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西藏</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r>
              <w:rPr>
                <w:rFonts w:hint="eastAsia" w:ascii="宋体" w:hAnsi="宋体" w:cs="宋体"/>
                <w:color w:val="000000"/>
                <w:sz w:val="20"/>
              </w:rPr>
              <w:t>拉萨</w:t>
            </w:r>
            <w:r>
              <w:rPr>
                <w:rFonts w:hint="eastAsia" w:ascii="宋体" w:hAnsi="宋体" w:cs="宋体"/>
                <w:color w:val="000000"/>
                <w:sz w:val="20"/>
                <w:lang w:eastAsia="zh-CN"/>
              </w:rPr>
              <w:t>市</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750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530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29</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陕西</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甘肃</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73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青海</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西宁市、玉树州、海北州、黄南州、海东市、海南州、海西州</w:t>
            </w: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5-9月</w:t>
            </w: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1200</w:t>
            </w: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750</w:t>
            </w: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530</w:t>
            </w: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宁夏</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255" w:hRule="atLeast"/>
        </w:trPr>
        <w:tc>
          <w:tcPr>
            <w:tcW w:w="5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33</w:t>
            </w: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新疆</w:t>
            </w:r>
          </w:p>
        </w:tc>
        <w:tc>
          <w:tcPr>
            <w:tcW w:w="10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 </w:t>
            </w:r>
          </w:p>
        </w:tc>
        <w:tc>
          <w:tcPr>
            <w:tcW w:w="67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480</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350</w:t>
            </w:r>
          </w:p>
        </w:tc>
        <w:tc>
          <w:tcPr>
            <w:tcW w:w="198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10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5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6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c>
          <w:tcPr>
            <w:tcW w:w="8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20"/>
              </w:rPr>
            </w:pPr>
          </w:p>
        </w:tc>
      </w:tr>
      <w:tr>
        <w:tblPrEx>
          <w:tblLayout w:type="fixed"/>
          <w:tblCellMar>
            <w:top w:w="15" w:type="dxa"/>
            <w:left w:w="15" w:type="dxa"/>
            <w:bottom w:w="15" w:type="dxa"/>
            <w:right w:w="15" w:type="dxa"/>
          </w:tblCellMar>
        </w:tblPrEx>
        <w:trPr>
          <w:trHeight w:val="1335" w:hRule="atLeast"/>
        </w:trPr>
        <w:tc>
          <w:tcPr>
            <w:tcW w:w="9656" w:type="dxa"/>
            <w:gridSpan w:val="10"/>
            <w:tcBorders>
              <w:top w:val="single" w:color="auto" w:sz="4" w:space="0"/>
            </w:tcBorders>
            <w:shd w:val="clear" w:color="auto"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一类差旅标准对应人员包括</w:t>
            </w:r>
            <w:r>
              <w:rPr>
                <w:rFonts w:hint="eastAsia" w:ascii="宋体" w:hAnsi="宋体" w:cs="宋体"/>
                <w:color w:val="000000"/>
                <w:kern w:val="0"/>
                <w:sz w:val="18"/>
                <w:szCs w:val="18"/>
                <w:lang w:eastAsia="zh-CN"/>
              </w:rPr>
              <w:t>：</w:t>
            </w:r>
            <w:r>
              <w:rPr>
                <w:rFonts w:hint="eastAsia" w:ascii="宋体" w:hAnsi="宋体" w:cs="宋体"/>
                <w:color w:val="000000" w:themeColor="text1"/>
                <w:kern w:val="0"/>
                <w:sz w:val="18"/>
                <w:szCs w:val="18"/>
              </w:rPr>
              <w:t>1.</w:t>
            </w:r>
            <w:r>
              <w:rPr>
                <w:rFonts w:hint="eastAsia" w:ascii="宋体" w:hAnsi="宋体" w:cs="宋体"/>
                <w:color w:val="000000" w:themeColor="text1"/>
                <w:kern w:val="0"/>
                <w:sz w:val="18"/>
                <w:szCs w:val="18"/>
                <w:lang w:eastAsia="zh-CN"/>
              </w:rPr>
              <w:t>省部级及相当职务人员</w:t>
            </w:r>
            <w:r>
              <w:rPr>
                <w:rFonts w:hint="eastAsia" w:ascii="宋体" w:hAnsi="宋体" w:cs="宋体"/>
                <w:color w:val="000000" w:themeColor="text1"/>
                <w:kern w:val="0"/>
                <w:sz w:val="18"/>
                <w:szCs w:val="18"/>
              </w:rPr>
              <w:t>；</w:t>
            </w:r>
            <w:r>
              <w:rPr>
                <w:rFonts w:hint="eastAsia" w:ascii="宋体" w:hAnsi="宋体" w:cs="宋体"/>
                <w:color w:val="000000" w:themeColor="text1"/>
                <w:kern w:val="0"/>
                <w:sz w:val="18"/>
                <w:szCs w:val="18"/>
                <w:lang w:val="en-US" w:eastAsia="zh-CN"/>
              </w:rPr>
              <w:t>2.</w:t>
            </w:r>
            <w:r>
              <w:rPr>
                <w:rFonts w:hint="eastAsia" w:ascii="宋体" w:hAnsi="宋体" w:cs="宋体"/>
                <w:color w:val="000000" w:themeColor="text1"/>
                <w:kern w:val="0"/>
                <w:sz w:val="18"/>
                <w:szCs w:val="18"/>
              </w:rPr>
              <w:t>院士</w:t>
            </w:r>
            <w:r>
              <w:rPr>
                <w:rFonts w:hint="eastAsia" w:ascii="宋体" w:hAnsi="宋体" w:cs="宋体"/>
                <w:color w:val="000000" w:themeColor="text1"/>
                <w:kern w:val="0"/>
                <w:sz w:val="18"/>
                <w:szCs w:val="18"/>
                <w:lang w:eastAsia="zh-CN"/>
              </w:rPr>
              <w:t>；</w:t>
            </w:r>
            <w:r>
              <w:rPr>
                <w:rFonts w:hint="eastAsia" w:ascii="宋体" w:hAnsi="宋体" w:cs="宋体"/>
                <w:color w:val="000000" w:themeColor="text1"/>
                <w:kern w:val="0"/>
                <w:sz w:val="18"/>
                <w:szCs w:val="18"/>
                <w:lang w:val="en-US" w:eastAsia="zh-CN"/>
              </w:rPr>
              <w:t>3</w:t>
            </w:r>
            <w:r>
              <w:rPr>
                <w:rFonts w:hint="eastAsia" w:ascii="宋体" w:hAnsi="宋体" w:cs="宋体"/>
                <w:color w:val="000000" w:themeColor="text1"/>
                <w:kern w:val="0"/>
                <w:sz w:val="18"/>
                <w:szCs w:val="18"/>
              </w:rPr>
              <w:t>.二级教授。</w:t>
            </w:r>
            <w:r>
              <w:rPr>
                <w:rFonts w:hint="eastAsia" w:ascii="宋体" w:hAnsi="宋体" w:cs="宋体"/>
                <w:color w:val="000000" w:themeColor="text1"/>
                <w:kern w:val="0"/>
                <w:sz w:val="18"/>
                <w:szCs w:val="18"/>
              </w:rPr>
              <w:br w:type="textWrapping"/>
            </w:r>
            <w:r>
              <w:rPr>
                <w:rFonts w:hint="eastAsia" w:ascii="宋体" w:hAnsi="宋体" w:cs="宋体"/>
                <w:color w:val="000000"/>
                <w:kern w:val="0"/>
                <w:sz w:val="18"/>
                <w:szCs w:val="18"/>
              </w:rPr>
              <w:t>二类差旅标准对应人员包括：1.高级职称人员；2.</w:t>
            </w:r>
            <w:r>
              <w:rPr>
                <w:rFonts w:hint="eastAsia" w:ascii="宋体" w:hAnsi="宋体" w:cs="宋体"/>
                <w:color w:val="000000"/>
                <w:kern w:val="0"/>
                <w:sz w:val="18"/>
                <w:szCs w:val="18"/>
                <w:lang w:eastAsia="zh-CN"/>
              </w:rPr>
              <w:t>四</w:t>
            </w:r>
            <w:r>
              <w:rPr>
                <w:rFonts w:hint="eastAsia" w:ascii="宋体" w:hAnsi="宋体" w:cs="宋体"/>
                <w:color w:val="000000"/>
                <w:kern w:val="0"/>
                <w:sz w:val="18"/>
                <w:szCs w:val="18"/>
              </w:rPr>
              <w:t>级及以上管理岗位人员。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三类差旅标准对应人员指其余人员。</w:t>
            </w:r>
          </w:p>
        </w:tc>
      </w:tr>
    </w:tbl>
    <w:p>
      <w:pPr>
        <w:spacing w:line="360" w:lineRule="auto"/>
        <w:rPr>
          <w:rFonts w:ascii="仿宋_GB2312" w:hAnsi="仿宋" w:eastAsia="仿宋_GB2312" w:cs="仿宋"/>
          <w:sz w:val="32"/>
          <w:szCs w:val="32"/>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957705"/>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40F9"/>
    <w:rsid w:val="00003AF1"/>
    <w:rsid w:val="00004207"/>
    <w:rsid w:val="00010585"/>
    <w:rsid w:val="00020AEB"/>
    <w:rsid w:val="000277DF"/>
    <w:rsid w:val="000310F6"/>
    <w:rsid w:val="000354AD"/>
    <w:rsid w:val="0003566E"/>
    <w:rsid w:val="00036F6F"/>
    <w:rsid w:val="00040093"/>
    <w:rsid w:val="000411A7"/>
    <w:rsid w:val="00041F1C"/>
    <w:rsid w:val="0004747F"/>
    <w:rsid w:val="00047B1F"/>
    <w:rsid w:val="00050683"/>
    <w:rsid w:val="00050866"/>
    <w:rsid w:val="00051356"/>
    <w:rsid w:val="00054EBC"/>
    <w:rsid w:val="00055868"/>
    <w:rsid w:val="00055B50"/>
    <w:rsid w:val="00056900"/>
    <w:rsid w:val="00057D5B"/>
    <w:rsid w:val="000714AA"/>
    <w:rsid w:val="0007301D"/>
    <w:rsid w:val="0008197C"/>
    <w:rsid w:val="00083D4E"/>
    <w:rsid w:val="000909E4"/>
    <w:rsid w:val="000913FC"/>
    <w:rsid w:val="00096E86"/>
    <w:rsid w:val="000A2B28"/>
    <w:rsid w:val="000A4164"/>
    <w:rsid w:val="000A4770"/>
    <w:rsid w:val="000A4A51"/>
    <w:rsid w:val="000B046E"/>
    <w:rsid w:val="000B57D4"/>
    <w:rsid w:val="000B6478"/>
    <w:rsid w:val="000D0395"/>
    <w:rsid w:val="000D1BC2"/>
    <w:rsid w:val="000E132D"/>
    <w:rsid w:val="000E40F9"/>
    <w:rsid w:val="000E639D"/>
    <w:rsid w:val="000F378E"/>
    <w:rsid w:val="000F37FD"/>
    <w:rsid w:val="000F3A57"/>
    <w:rsid w:val="000F3DF8"/>
    <w:rsid w:val="00101015"/>
    <w:rsid w:val="00102116"/>
    <w:rsid w:val="00102128"/>
    <w:rsid w:val="00102ABE"/>
    <w:rsid w:val="00107ECF"/>
    <w:rsid w:val="00115051"/>
    <w:rsid w:val="00120A3F"/>
    <w:rsid w:val="0012118F"/>
    <w:rsid w:val="001214DC"/>
    <w:rsid w:val="00121E22"/>
    <w:rsid w:val="001223FF"/>
    <w:rsid w:val="0012325B"/>
    <w:rsid w:val="00130A18"/>
    <w:rsid w:val="001322ED"/>
    <w:rsid w:val="00132342"/>
    <w:rsid w:val="00143E1C"/>
    <w:rsid w:val="00147F66"/>
    <w:rsid w:val="0015346C"/>
    <w:rsid w:val="001539EC"/>
    <w:rsid w:val="0017336E"/>
    <w:rsid w:val="0017385D"/>
    <w:rsid w:val="0017505C"/>
    <w:rsid w:val="00181F6F"/>
    <w:rsid w:val="0018219C"/>
    <w:rsid w:val="00183E8B"/>
    <w:rsid w:val="001905F4"/>
    <w:rsid w:val="00191ACE"/>
    <w:rsid w:val="00191E1F"/>
    <w:rsid w:val="00193AD4"/>
    <w:rsid w:val="00193EF9"/>
    <w:rsid w:val="00194834"/>
    <w:rsid w:val="001A4634"/>
    <w:rsid w:val="001B0458"/>
    <w:rsid w:val="001C23F5"/>
    <w:rsid w:val="001C2E1F"/>
    <w:rsid w:val="001C44D9"/>
    <w:rsid w:val="001C7D26"/>
    <w:rsid w:val="001D0F8C"/>
    <w:rsid w:val="001D21AE"/>
    <w:rsid w:val="001D708C"/>
    <w:rsid w:val="001E0216"/>
    <w:rsid w:val="001E2F68"/>
    <w:rsid w:val="001E51A3"/>
    <w:rsid w:val="001E5C32"/>
    <w:rsid w:val="001E65F7"/>
    <w:rsid w:val="001F0EAA"/>
    <w:rsid w:val="001F16A3"/>
    <w:rsid w:val="0020075C"/>
    <w:rsid w:val="00203531"/>
    <w:rsid w:val="002037A3"/>
    <w:rsid w:val="0020557F"/>
    <w:rsid w:val="00207192"/>
    <w:rsid w:val="00210FB0"/>
    <w:rsid w:val="00213C79"/>
    <w:rsid w:val="00215E32"/>
    <w:rsid w:val="00220817"/>
    <w:rsid w:val="0022165C"/>
    <w:rsid w:val="00224784"/>
    <w:rsid w:val="002302AF"/>
    <w:rsid w:val="00233393"/>
    <w:rsid w:val="0024502E"/>
    <w:rsid w:val="002470C8"/>
    <w:rsid w:val="00247470"/>
    <w:rsid w:val="00253734"/>
    <w:rsid w:val="00255C4F"/>
    <w:rsid w:val="00255C6B"/>
    <w:rsid w:val="00256C14"/>
    <w:rsid w:val="0026507B"/>
    <w:rsid w:val="002659E5"/>
    <w:rsid w:val="002703E0"/>
    <w:rsid w:val="00270EE3"/>
    <w:rsid w:val="00275922"/>
    <w:rsid w:val="00277179"/>
    <w:rsid w:val="002772E7"/>
    <w:rsid w:val="00277ECB"/>
    <w:rsid w:val="00281F56"/>
    <w:rsid w:val="00284EB9"/>
    <w:rsid w:val="002860A3"/>
    <w:rsid w:val="002940A1"/>
    <w:rsid w:val="00296B95"/>
    <w:rsid w:val="002A2987"/>
    <w:rsid w:val="002A3210"/>
    <w:rsid w:val="002A3B35"/>
    <w:rsid w:val="002A49D6"/>
    <w:rsid w:val="002A5180"/>
    <w:rsid w:val="002A7157"/>
    <w:rsid w:val="002B0722"/>
    <w:rsid w:val="002B339D"/>
    <w:rsid w:val="002B5705"/>
    <w:rsid w:val="002C4E30"/>
    <w:rsid w:val="002C52BF"/>
    <w:rsid w:val="002C53D2"/>
    <w:rsid w:val="002C6B52"/>
    <w:rsid w:val="002D3410"/>
    <w:rsid w:val="002D372E"/>
    <w:rsid w:val="002D57EB"/>
    <w:rsid w:val="002D7B49"/>
    <w:rsid w:val="002E068B"/>
    <w:rsid w:val="002E431D"/>
    <w:rsid w:val="002E50FD"/>
    <w:rsid w:val="002E540D"/>
    <w:rsid w:val="002F14EB"/>
    <w:rsid w:val="002F52CE"/>
    <w:rsid w:val="002F5CEF"/>
    <w:rsid w:val="002F628E"/>
    <w:rsid w:val="00301F45"/>
    <w:rsid w:val="0030309C"/>
    <w:rsid w:val="0031001C"/>
    <w:rsid w:val="003206D6"/>
    <w:rsid w:val="0032397C"/>
    <w:rsid w:val="0032629D"/>
    <w:rsid w:val="003262B9"/>
    <w:rsid w:val="003308F2"/>
    <w:rsid w:val="003367CA"/>
    <w:rsid w:val="00342423"/>
    <w:rsid w:val="00350B70"/>
    <w:rsid w:val="003511B8"/>
    <w:rsid w:val="003542E3"/>
    <w:rsid w:val="003572D5"/>
    <w:rsid w:val="003576D1"/>
    <w:rsid w:val="00364B55"/>
    <w:rsid w:val="00364C4A"/>
    <w:rsid w:val="003714BE"/>
    <w:rsid w:val="0037229C"/>
    <w:rsid w:val="00372723"/>
    <w:rsid w:val="00380CDE"/>
    <w:rsid w:val="0038328D"/>
    <w:rsid w:val="00386AAF"/>
    <w:rsid w:val="00390035"/>
    <w:rsid w:val="00393718"/>
    <w:rsid w:val="003A6DC7"/>
    <w:rsid w:val="003B385D"/>
    <w:rsid w:val="003B61E9"/>
    <w:rsid w:val="003B670F"/>
    <w:rsid w:val="003C52B8"/>
    <w:rsid w:val="003D246F"/>
    <w:rsid w:val="003D486B"/>
    <w:rsid w:val="003E1403"/>
    <w:rsid w:val="003E256A"/>
    <w:rsid w:val="003E40F7"/>
    <w:rsid w:val="003E7C4D"/>
    <w:rsid w:val="003F09DC"/>
    <w:rsid w:val="003F55D1"/>
    <w:rsid w:val="003F56D7"/>
    <w:rsid w:val="00404CC4"/>
    <w:rsid w:val="004075A7"/>
    <w:rsid w:val="00410B17"/>
    <w:rsid w:val="00414DEE"/>
    <w:rsid w:val="0041589E"/>
    <w:rsid w:val="00417409"/>
    <w:rsid w:val="0042137D"/>
    <w:rsid w:val="00425922"/>
    <w:rsid w:val="004259CF"/>
    <w:rsid w:val="00425EE3"/>
    <w:rsid w:val="00432BA9"/>
    <w:rsid w:val="004354BD"/>
    <w:rsid w:val="00437BDA"/>
    <w:rsid w:val="00442981"/>
    <w:rsid w:val="004509D2"/>
    <w:rsid w:val="00452E84"/>
    <w:rsid w:val="00454674"/>
    <w:rsid w:val="004548C0"/>
    <w:rsid w:val="00457EAC"/>
    <w:rsid w:val="004620D1"/>
    <w:rsid w:val="00470697"/>
    <w:rsid w:val="0047159E"/>
    <w:rsid w:val="00472066"/>
    <w:rsid w:val="004764F6"/>
    <w:rsid w:val="0048073E"/>
    <w:rsid w:val="00481569"/>
    <w:rsid w:val="004828ED"/>
    <w:rsid w:val="00490A25"/>
    <w:rsid w:val="00493AFE"/>
    <w:rsid w:val="00497528"/>
    <w:rsid w:val="00497FBB"/>
    <w:rsid w:val="004A499A"/>
    <w:rsid w:val="004A7488"/>
    <w:rsid w:val="004B0779"/>
    <w:rsid w:val="004B421C"/>
    <w:rsid w:val="004B5558"/>
    <w:rsid w:val="004C2100"/>
    <w:rsid w:val="004C3244"/>
    <w:rsid w:val="004D197B"/>
    <w:rsid w:val="004E100F"/>
    <w:rsid w:val="004E1870"/>
    <w:rsid w:val="004F1432"/>
    <w:rsid w:val="004F3BE2"/>
    <w:rsid w:val="004F3DE8"/>
    <w:rsid w:val="004F6DD5"/>
    <w:rsid w:val="005008FA"/>
    <w:rsid w:val="00511F6B"/>
    <w:rsid w:val="005151EE"/>
    <w:rsid w:val="005160E7"/>
    <w:rsid w:val="00517135"/>
    <w:rsid w:val="00522D03"/>
    <w:rsid w:val="005239FD"/>
    <w:rsid w:val="00525577"/>
    <w:rsid w:val="00526B4A"/>
    <w:rsid w:val="00526DE4"/>
    <w:rsid w:val="00530B4B"/>
    <w:rsid w:val="005335E4"/>
    <w:rsid w:val="00537135"/>
    <w:rsid w:val="00537ED5"/>
    <w:rsid w:val="00540316"/>
    <w:rsid w:val="00540E00"/>
    <w:rsid w:val="005412F9"/>
    <w:rsid w:val="0054743D"/>
    <w:rsid w:val="00550DB3"/>
    <w:rsid w:val="00556A2A"/>
    <w:rsid w:val="0056069D"/>
    <w:rsid w:val="00561582"/>
    <w:rsid w:val="00562518"/>
    <w:rsid w:val="00564132"/>
    <w:rsid w:val="00565A92"/>
    <w:rsid w:val="0057398E"/>
    <w:rsid w:val="00577B5D"/>
    <w:rsid w:val="00581041"/>
    <w:rsid w:val="005811D1"/>
    <w:rsid w:val="0058192E"/>
    <w:rsid w:val="00581BD7"/>
    <w:rsid w:val="00581D8C"/>
    <w:rsid w:val="00585C1C"/>
    <w:rsid w:val="00587B8E"/>
    <w:rsid w:val="0059120B"/>
    <w:rsid w:val="00591CE2"/>
    <w:rsid w:val="00595F2A"/>
    <w:rsid w:val="00596ADD"/>
    <w:rsid w:val="00596BA0"/>
    <w:rsid w:val="00596D35"/>
    <w:rsid w:val="005A1094"/>
    <w:rsid w:val="005A2887"/>
    <w:rsid w:val="005A3A71"/>
    <w:rsid w:val="005B77B4"/>
    <w:rsid w:val="005B788E"/>
    <w:rsid w:val="005C6D82"/>
    <w:rsid w:val="005C78DA"/>
    <w:rsid w:val="005C7F66"/>
    <w:rsid w:val="005D3821"/>
    <w:rsid w:val="005D3B58"/>
    <w:rsid w:val="005D5FBC"/>
    <w:rsid w:val="005D6911"/>
    <w:rsid w:val="005E3821"/>
    <w:rsid w:val="005E72B8"/>
    <w:rsid w:val="005F2659"/>
    <w:rsid w:val="00606A4F"/>
    <w:rsid w:val="00607779"/>
    <w:rsid w:val="006159C8"/>
    <w:rsid w:val="00616CF5"/>
    <w:rsid w:val="00617AA1"/>
    <w:rsid w:val="00620000"/>
    <w:rsid w:val="006265DA"/>
    <w:rsid w:val="00626E47"/>
    <w:rsid w:val="0062797A"/>
    <w:rsid w:val="0063115D"/>
    <w:rsid w:val="006327D1"/>
    <w:rsid w:val="006376B4"/>
    <w:rsid w:val="006403D9"/>
    <w:rsid w:val="00641216"/>
    <w:rsid w:val="00641949"/>
    <w:rsid w:val="00647F68"/>
    <w:rsid w:val="00650615"/>
    <w:rsid w:val="00653D5F"/>
    <w:rsid w:val="00654A4C"/>
    <w:rsid w:val="00661FD5"/>
    <w:rsid w:val="00674927"/>
    <w:rsid w:val="006809E2"/>
    <w:rsid w:val="00681EBF"/>
    <w:rsid w:val="0068477F"/>
    <w:rsid w:val="006848F2"/>
    <w:rsid w:val="006852E3"/>
    <w:rsid w:val="00685B8E"/>
    <w:rsid w:val="006A2621"/>
    <w:rsid w:val="006A6E0B"/>
    <w:rsid w:val="006A6E0E"/>
    <w:rsid w:val="006A77C9"/>
    <w:rsid w:val="006B09AE"/>
    <w:rsid w:val="006B2CED"/>
    <w:rsid w:val="006B4B51"/>
    <w:rsid w:val="006B58DC"/>
    <w:rsid w:val="006B5B5F"/>
    <w:rsid w:val="006B79D9"/>
    <w:rsid w:val="006C08AC"/>
    <w:rsid w:val="006C38D0"/>
    <w:rsid w:val="006D0B2E"/>
    <w:rsid w:val="006D1DEB"/>
    <w:rsid w:val="006D4DA0"/>
    <w:rsid w:val="006E1574"/>
    <w:rsid w:val="006E7F25"/>
    <w:rsid w:val="006F554B"/>
    <w:rsid w:val="00710B1D"/>
    <w:rsid w:val="007115F5"/>
    <w:rsid w:val="00713414"/>
    <w:rsid w:val="00715069"/>
    <w:rsid w:val="00717BB5"/>
    <w:rsid w:val="0072348B"/>
    <w:rsid w:val="00724168"/>
    <w:rsid w:val="00726164"/>
    <w:rsid w:val="00727ABB"/>
    <w:rsid w:val="00730B6B"/>
    <w:rsid w:val="00730FE4"/>
    <w:rsid w:val="00733DF2"/>
    <w:rsid w:val="00734EC0"/>
    <w:rsid w:val="00736709"/>
    <w:rsid w:val="00736A30"/>
    <w:rsid w:val="00741C92"/>
    <w:rsid w:val="007425D4"/>
    <w:rsid w:val="0074461A"/>
    <w:rsid w:val="00747181"/>
    <w:rsid w:val="0075229F"/>
    <w:rsid w:val="00754E02"/>
    <w:rsid w:val="00760A58"/>
    <w:rsid w:val="00764687"/>
    <w:rsid w:val="0076546E"/>
    <w:rsid w:val="00765DFE"/>
    <w:rsid w:val="00771005"/>
    <w:rsid w:val="007717AC"/>
    <w:rsid w:val="00772017"/>
    <w:rsid w:val="00773C59"/>
    <w:rsid w:val="007760D6"/>
    <w:rsid w:val="007772CF"/>
    <w:rsid w:val="0077769A"/>
    <w:rsid w:val="00781CA7"/>
    <w:rsid w:val="00783CB0"/>
    <w:rsid w:val="007862BE"/>
    <w:rsid w:val="00787C55"/>
    <w:rsid w:val="00790FEC"/>
    <w:rsid w:val="00791E07"/>
    <w:rsid w:val="00792033"/>
    <w:rsid w:val="007A0C2D"/>
    <w:rsid w:val="007A0FD5"/>
    <w:rsid w:val="007A1246"/>
    <w:rsid w:val="007A6E19"/>
    <w:rsid w:val="007B12BE"/>
    <w:rsid w:val="007B33C0"/>
    <w:rsid w:val="007B5EF4"/>
    <w:rsid w:val="007B6046"/>
    <w:rsid w:val="007B7F89"/>
    <w:rsid w:val="007C246D"/>
    <w:rsid w:val="007C3D83"/>
    <w:rsid w:val="007C56E1"/>
    <w:rsid w:val="007C6B00"/>
    <w:rsid w:val="007D2AD0"/>
    <w:rsid w:val="007D5390"/>
    <w:rsid w:val="007E6135"/>
    <w:rsid w:val="007E70CC"/>
    <w:rsid w:val="007E72FE"/>
    <w:rsid w:val="007F0E9E"/>
    <w:rsid w:val="007F0F0A"/>
    <w:rsid w:val="007F2BFA"/>
    <w:rsid w:val="007F5259"/>
    <w:rsid w:val="00802570"/>
    <w:rsid w:val="0080379D"/>
    <w:rsid w:val="00816B50"/>
    <w:rsid w:val="008237C4"/>
    <w:rsid w:val="00830BCE"/>
    <w:rsid w:val="008318EE"/>
    <w:rsid w:val="00840BFC"/>
    <w:rsid w:val="00841321"/>
    <w:rsid w:val="00841613"/>
    <w:rsid w:val="00843F3F"/>
    <w:rsid w:val="00852627"/>
    <w:rsid w:val="00854E58"/>
    <w:rsid w:val="00856491"/>
    <w:rsid w:val="00856963"/>
    <w:rsid w:val="0085747A"/>
    <w:rsid w:val="00862CE8"/>
    <w:rsid w:val="00863A6C"/>
    <w:rsid w:val="008665C0"/>
    <w:rsid w:val="00870347"/>
    <w:rsid w:val="00874D7D"/>
    <w:rsid w:val="008809EC"/>
    <w:rsid w:val="00880C57"/>
    <w:rsid w:val="008812DF"/>
    <w:rsid w:val="00884D15"/>
    <w:rsid w:val="00886131"/>
    <w:rsid w:val="008906E6"/>
    <w:rsid w:val="008917B5"/>
    <w:rsid w:val="00892C22"/>
    <w:rsid w:val="00893712"/>
    <w:rsid w:val="00895833"/>
    <w:rsid w:val="008A1375"/>
    <w:rsid w:val="008A379E"/>
    <w:rsid w:val="008B153E"/>
    <w:rsid w:val="008B1DD0"/>
    <w:rsid w:val="008B2EEA"/>
    <w:rsid w:val="008C67FC"/>
    <w:rsid w:val="008D6C72"/>
    <w:rsid w:val="008E1650"/>
    <w:rsid w:val="008E2C3F"/>
    <w:rsid w:val="008E7D2B"/>
    <w:rsid w:val="008F0592"/>
    <w:rsid w:val="008F50BF"/>
    <w:rsid w:val="00900F30"/>
    <w:rsid w:val="00903A5F"/>
    <w:rsid w:val="00913B87"/>
    <w:rsid w:val="00914376"/>
    <w:rsid w:val="0092499A"/>
    <w:rsid w:val="00927615"/>
    <w:rsid w:val="00935C7F"/>
    <w:rsid w:val="00944D2A"/>
    <w:rsid w:val="009522C3"/>
    <w:rsid w:val="00961FC9"/>
    <w:rsid w:val="0096263D"/>
    <w:rsid w:val="00962CF1"/>
    <w:rsid w:val="009658D4"/>
    <w:rsid w:val="009673C8"/>
    <w:rsid w:val="009677DA"/>
    <w:rsid w:val="009708FA"/>
    <w:rsid w:val="0097705F"/>
    <w:rsid w:val="00981191"/>
    <w:rsid w:val="00987B2B"/>
    <w:rsid w:val="0099030F"/>
    <w:rsid w:val="00991C4D"/>
    <w:rsid w:val="009A050D"/>
    <w:rsid w:val="009A36AD"/>
    <w:rsid w:val="009A79F3"/>
    <w:rsid w:val="009B53E9"/>
    <w:rsid w:val="009B629B"/>
    <w:rsid w:val="009C1DA7"/>
    <w:rsid w:val="009C58E1"/>
    <w:rsid w:val="009D40A3"/>
    <w:rsid w:val="009E0050"/>
    <w:rsid w:val="009E03E2"/>
    <w:rsid w:val="009E3A86"/>
    <w:rsid w:val="009E4C5F"/>
    <w:rsid w:val="009E76DF"/>
    <w:rsid w:val="009F3382"/>
    <w:rsid w:val="00A048BA"/>
    <w:rsid w:val="00A0678F"/>
    <w:rsid w:val="00A20794"/>
    <w:rsid w:val="00A215A0"/>
    <w:rsid w:val="00A215BC"/>
    <w:rsid w:val="00A2400E"/>
    <w:rsid w:val="00A31318"/>
    <w:rsid w:val="00A34BBA"/>
    <w:rsid w:val="00A35332"/>
    <w:rsid w:val="00A37965"/>
    <w:rsid w:val="00A41270"/>
    <w:rsid w:val="00A42092"/>
    <w:rsid w:val="00A515B3"/>
    <w:rsid w:val="00A562EE"/>
    <w:rsid w:val="00A65780"/>
    <w:rsid w:val="00A7204B"/>
    <w:rsid w:val="00A848CB"/>
    <w:rsid w:val="00A851B8"/>
    <w:rsid w:val="00A86835"/>
    <w:rsid w:val="00A8727E"/>
    <w:rsid w:val="00A873A8"/>
    <w:rsid w:val="00A8753D"/>
    <w:rsid w:val="00A9135B"/>
    <w:rsid w:val="00A97853"/>
    <w:rsid w:val="00AA0667"/>
    <w:rsid w:val="00AA24B8"/>
    <w:rsid w:val="00AA3001"/>
    <w:rsid w:val="00AA4184"/>
    <w:rsid w:val="00AA5EC0"/>
    <w:rsid w:val="00AB0EB7"/>
    <w:rsid w:val="00AB1410"/>
    <w:rsid w:val="00AB750F"/>
    <w:rsid w:val="00AC00F1"/>
    <w:rsid w:val="00AC1C30"/>
    <w:rsid w:val="00AC236B"/>
    <w:rsid w:val="00AC6FCD"/>
    <w:rsid w:val="00AD0AEF"/>
    <w:rsid w:val="00AD25F8"/>
    <w:rsid w:val="00AD2A32"/>
    <w:rsid w:val="00AD3B0E"/>
    <w:rsid w:val="00AD500C"/>
    <w:rsid w:val="00AD7EAF"/>
    <w:rsid w:val="00AE07EE"/>
    <w:rsid w:val="00AE0F6A"/>
    <w:rsid w:val="00AE7CFC"/>
    <w:rsid w:val="00AF0062"/>
    <w:rsid w:val="00AF45A6"/>
    <w:rsid w:val="00AF6875"/>
    <w:rsid w:val="00AF74E9"/>
    <w:rsid w:val="00AF7A6C"/>
    <w:rsid w:val="00B01317"/>
    <w:rsid w:val="00B0317D"/>
    <w:rsid w:val="00B031AA"/>
    <w:rsid w:val="00B064D9"/>
    <w:rsid w:val="00B06F9E"/>
    <w:rsid w:val="00B110B9"/>
    <w:rsid w:val="00B1272E"/>
    <w:rsid w:val="00B17BCB"/>
    <w:rsid w:val="00B220C5"/>
    <w:rsid w:val="00B307D6"/>
    <w:rsid w:val="00B31F60"/>
    <w:rsid w:val="00B32DF0"/>
    <w:rsid w:val="00B35418"/>
    <w:rsid w:val="00B361CE"/>
    <w:rsid w:val="00B37566"/>
    <w:rsid w:val="00B40314"/>
    <w:rsid w:val="00B40E46"/>
    <w:rsid w:val="00B4469F"/>
    <w:rsid w:val="00B44E42"/>
    <w:rsid w:val="00B62BEF"/>
    <w:rsid w:val="00B62E76"/>
    <w:rsid w:val="00B70823"/>
    <w:rsid w:val="00B72857"/>
    <w:rsid w:val="00B72E7F"/>
    <w:rsid w:val="00B745A6"/>
    <w:rsid w:val="00B7654E"/>
    <w:rsid w:val="00B903B7"/>
    <w:rsid w:val="00B9129C"/>
    <w:rsid w:val="00B9181B"/>
    <w:rsid w:val="00B94CFC"/>
    <w:rsid w:val="00B97D51"/>
    <w:rsid w:val="00BA1915"/>
    <w:rsid w:val="00BB1E82"/>
    <w:rsid w:val="00BB2146"/>
    <w:rsid w:val="00BC119D"/>
    <w:rsid w:val="00BC1698"/>
    <w:rsid w:val="00BC429F"/>
    <w:rsid w:val="00BD1D0D"/>
    <w:rsid w:val="00BD3C00"/>
    <w:rsid w:val="00BD57F9"/>
    <w:rsid w:val="00BE127A"/>
    <w:rsid w:val="00BE5EB3"/>
    <w:rsid w:val="00BE6BD2"/>
    <w:rsid w:val="00BF03C9"/>
    <w:rsid w:val="00BF079A"/>
    <w:rsid w:val="00BF53C2"/>
    <w:rsid w:val="00C01DF1"/>
    <w:rsid w:val="00C04E78"/>
    <w:rsid w:val="00C06731"/>
    <w:rsid w:val="00C06D03"/>
    <w:rsid w:val="00C11B0B"/>
    <w:rsid w:val="00C2378B"/>
    <w:rsid w:val="00C2538A"/>
    <w:rsid w:val="00C26904"/>
    <w:rsid w:val="00C3392E"/>
    <w:rsid w:val="00C3596F"/>
    <w:rsid w:val="00C36E33"/>
    <w:rsid w:val="00C423CE"/>
    <w:rsid w:val="00C473A8"/>
    <w:rsid w:val="00C55D37"/>
    <w:rsid w:val="00C7069C"/>
    <w:rsid w:val="00C71809"/>
    <w:rsid w:val="00C71E46"/>
    <w:rsid w:val="00C71FD3"/>
    <w:rsid w:val="00C74E89"/>
    <w:rsid w:val="00C814D7"/>
    <w:rsid w:val="00C84AB7"/>
    <w:rsid w:val="00CA2C3C"/>
    <w:rsid w:val="00CA7659"/>
    <w:rsid w:val="00CB07A1"/>
    <w:rsid w:val="00CB15FA"/>
    <w:rsid w:val="00CB22F2"/>
    <w:rsid w:val="00CB39C5"/>
    <w:rsid w:val="00CB520C"/>
    <w:rsid w:val="00CB7172"/>
    <w:rsid w:val="00CC0025"/>
    <w:rsid w:val="00CC553B"/>
    <w:rsid w:val="00CD161A"/>
    <w:rsid w:val="00CD297A"/>
    <w:rsid w:val="00CD46E8"/>
    <w:rsid w:val="00CD676D"/>
    <w:rsid w:val="00CE1938"/>
    <w:rsid w:val="00CE5191"/>
    <w:rsid w:val="00CF4D60"/>
    <w:rsid w:val="00D03DFB"/>
    <w:rsid w:val="00D0512F"/>
    <w:rsid w:val="00D0731D"/>
    <w:rsid w:val="00D07738"/>
    <w:rsid w:val="00D14B16"/>
    <w:rsid w:val="00D17EC6"/>
    <w:rsid w:val="00D246AF"/>
    <w:rsid w:val="00D25128"/>
    <w:rsid w:val="00D31418"/>
    <w:rsid w:val="00D32B53"/>
    <w:rsid w:val="00D37FAC"/>
    <w:rsid w:val="00D40993"/>
    <w:rsid w:val="00D45D32"/>
    <w:rsid w:val="00D53082"/>
    <w:rsid w:val="00D544FC"/>
    <w:rsid w:val="00D608BF"/>
    <w:rsid w:val="00D616F8"/>
    <w:rsid w:val="00D621CA"/>
    <w:rsid w:val="00D62BF3"/>
    <w:rsid w:val="00D63EDA"/>
    <w:rsid w:val="00D64946"/>
    <w:rsid w:val="00D70527"/>
    <w:rsid w:val="00D738F0"/>
    <w:rsid w:val="00D75098"/>
    <w:rsid w:val="00D84A4A"/>
    <w:rsid w:val="00D8737C"/>
    <w:rsid w:val="00D91F5C"/>
    <w:rsid w:val="00D9207E"/>
    <w:rsid w:val="00D9506A"/>
    <w:rsid w:val="00D967D9"/>
    <w:rsid w:val="00D96F7E"/>
    <w:rsid w:val="00DA008A"/>
    <w:rsid w:val="00DB3743"/>
    <w:rsid w:val="00DB7C0E"/>
    <w:rsid w:val="00DC1A8A"/>
    <w:rsid w:val="00DC3044"/>
    <w:rsid w:val="00DD6298"/>
    <w:rsid w:val="00DE08AE"/>
    <w:rsid w:val="00DE7733"/>
    <w:rsid w:val="00DF0B2A"/>
    <w:rsid w:val="00DF28F6"/>
    <w:rsid w:val="00DF467D"/>
    <w:rsid w:val="00DF47BB"/>
    <w:rsid w:val="00E01461"/>
    <w:rsid w:val="00E03245"/>
    <w:rsid w:val="00E04CD2"/>
    <w:rsid w:val="00E06D7B"/>
    <w:rsid w:val="00E0730B"/>
    <w:rsid w:val="00E100DF"/>
    <w:rsid w:val="00E15CFA"/>
    <w:rsid w:val="00E20157"/>
    <w:rsid w:val="00E20D4B"/>
    <w:rsid w:val="00E2279A"/>
    <w:rsid w:val="00E22B17"/>
    <w:rsid w:val="00E22D98"/>
    <w:rsid w:val="00E23749"/>
    <w:rsid w:val="00E2546F"/>
    <w:rsid w:val="00E274AA"/>
    <w:rsid w:val="00E335D4"/>
    <w:rsid w:val="00E411A3"/>
    <w:rsid w:val="00E465B6"/>
    <w:rsid w:val="00E56BD0"/>
    <w:rsid w:val="00E60550"/>
    <w:rsid w:val="00E627E5"/>
    <w:rsid w:val="00E66D9D"/>
    <w:rsid w:val="00E7086B"/>
    <w:rsid w:val="00E71A86"/>
    <w:rsid w:val="00E7374E"/>
    <w:rsid w:val="00E86942"/>
    <w:rsid w:val="00E87781"/>
    <w:rsid w:val="00E903FA"/>
    <w:rsid w:val="00E942C2"/>
    <w:rsid w:val="00E94C2F"/>
    <w:rsid w:val="00E94FC7"/>
    <w:rsid w:val="00E97AC8"/>
    <w:rsid w:val="00E97B5B"/>
    <w:rsid w:val="00EA026C"/>
    <w:rsid w:val="00EA0F61"/>
    <w:rsid w:val="00EA7ED0"/>
    <w:rsid w:val="00EB190F"/>
    <w:rsid w:val="00EB7D37"/>
    <w:rsid w:val="00EC4A57"/>
    <w:rsid w:val="00EC6A31"/>
    <w:rsid w:val="00EC7541"/>
    <w:rsid w:val="00EC7E94"/>
    <w:rsid w:val="00ED50B1"/>
    <w:rsid w:val="00ED78A9"/>
    <w:rsid w:val="00EE42D9"/>
    <w:rsid w:val="00EE5595"/>
    <w:rsid w:val="00EE6D0B"/>
    <w:rsid w:val="00EF2DD1"/>
    <w:rsid w:val="00EF3DD7"/>
    <w:rsid w:val="00EF4667"/>
    <w:rsid w:val="00EF5D5D"/>
    <w:rsid w:val="00EF6387"/>
    <w:rsid w:val="00F06C92"/>
    <w:rsid w:val="00F1389A"/>
    <w:rsid w:val="00F14A87"/>
    <w:rsid w:val="00F14AF2"/>
    <w:rsid w:val="00F16DBC"/>
    <w:rsid w:val="00F22090"/>
    <w:rsid w:val="00F22662"/>
    <w:rsid w:val="00F2283C"/>
    <w:rsid w:val="00F2385E"/>
    <w:rsid w:val="00F27AE5"/>
    <w:rsid w:val="00F309E0"/>
    <w:rsid w:val="00F34DAF"/>
    <w:rsid w:val="00F37173"/>
    <w:rsid w:val="00F44086"/>
    <w:rsid w:val="00F45C04"/>
    <w:rsid w:val="00F46BBF"/>
    <w:rsid w:val="00F47AC9"/>
    <w:rsid w:val="00F47CEA"/>
    <w:rsid w:val="00F568B0"/>
    <w:rsid w:val="00F61A1F"/>
    <w:rsid w:val="00F63D35"/>
    <w:rsid w:val="00F64B28"/>
    <w:rsid w:val="00F672FE"/>
    <w:rsid w:val="00F709DD"/>
    <w:rsid w:val="00F70DEA"/>
    <w:rsid w:val="00F71B06"/>
    <w:rsid w:val="00F74C04"/>
    <w:rsid w:val="00F8535C"/>
    <w:rsid w:val="00F94C39"/>
    <w:rsid w:val="00F967EE"/>
    <w:rsid w:val="00F969DA"/>
    <w:rsid w:val="00FA6057"/>
    <w:rsid w:val="00FB2092"/>
    <w:rsid w:val="00FB2189"/>
    <w:rsid w:val="00FB5A08"/>
    <w:rsid w:val="00FB741F"/>
    <w:rsid w:val="00FC3522"/>
    <w:rsid w:val="00FC66EB"/>
    <w:rsid w:val="00FD15E5"/>
    <w:rsid w:val="00FD43A1"/>
    <w:rsid w:val="00FE1F16"/>
    <w:rsid w:val="00FE2414"/>
    <w:rsid w:val="00FE5624"/>
    <w:rsid w:val="00FF221F"/>
    <w:rsid w:val="00FF39D9"/>
    <w:rsid w:val="00FF487B"/>
    <w:rsid w:val="00FF568D"/>
    <w:rsid w:val="019C56B1"/>
    <w:rsid w:val="01DE54E0"/>
    <w:rsid w:val="05447BE3"/>
    <w:rsid w:val="05637959"/>
    <w:rsid w:val="05747680"/>
    <w:rsid w:val="0A2E68CC"/>
    <w:rsid w:val="0BA468CE"/>
    <w:rsid w:val="12274195"/>
    <w:rsid w:val="12E323B8"/>
    <w:rsid w:val="13914657"/>
    <w:rsid w:val="14235AA2"/>
    <w:rsid w:val="14AE0208"/>
    <w:rsid w:val="15F97477"/>
    <w:rsid w:val="168111E8"/>
    <w:rsid w:val="1797338A"/>
    <w:rsid w:val="18343AC7"/>
    <w:rsid w:val="1BFF0BCD"/>
    <w:rsid w:val="1C6B73EF"/>
    <w:rsid w:val="1F267BF0"/>
    <w:rsid w:val="20961318"/>
    <w:rsid w:val="20FD1F53"/>
    <w:rsid w:val="2157084B"/>
    <w:rsid w:val="21C6621F"/>
    <w:rsid w:val="224B41F7"/>
    <w:rsid w:val="236B2A46"/>
    <w:rsid w:val="266612BA"/>
    <w:rsid w:val="29C60259"/>
    <w:rsid w:val="2B2F37F6"/>
    <w:rsid w:val="2B370539"/>
    <w:rsid w:val="2DC33767"/>
    <w:rsid w:val="2F4F15A6"/>
    <w:rsid w:val="2FBF70ED"/>
    <w:rsid w:val="304825FA"/>
    <w:rsid w:val="315F7973"/>
    <w:rsid w:val="32923DA1"/>
    <w:rsid w:val="32CC6E37"/>
    <w:rsid w:val="33644076"/>
    <w:rsid w:val="352F220A"/>
    <w:rsid w:val="372425D8"/>
    <w:rsid w:val="3728090B"/>
    <w:rsid w:val="3A010166"/>
    <w:rsid w:val="3C12102A"/>
    <w:rsid w:val="3D5925E5"/>
    <w:rsid w:val="3DDF7D14"/>
    <w:rsid w:val="3E137193"/>
    <w:rsid w:val="4371506C"/>
    <w:rsid w:val="438E0739"/>
    <w:rsid w:val="43BC24CC"/>
    <w:rsid w:val="4428769A"/>
    <w:rsid w:val="44493D84"/>
    <w:rsid w:val="45EE410C"/>
    <w:rsid w:val="47A2700F"/>
    <w:rsid w:val="4A2F0496"/>
    <w:rsid w:val="4C811C95"/>
    <w:rsid w:val="4D516181"/>
    <w:rsid w:val="4E3B1CFA"/>
    <w:rsid w:val="4E8902E4"/>
    <w:rsid w:val="4F906DB8"/>
    <w:rsid w:val="4FB54389"/>
    <w:rsid w:val="513B1F1B"/>
    <w:rsid w:val="53E63DDF"/>
    <w:rsid w:val="54D37A35"/>
    <w:rsid w:val="54F0515D"/>
    <w:rsid w:val="551C241D"/>
    <w:rsid w:val="55FB424E"/>
    <w:rsid w:val="577D4E62"/>
    <w:rsid w:val="596B3ABF"/>
    <w:rsid w:val="59C47AAE"/>
    <w:rsid w:val="609D6D3D"/>
    <w:rsid w:val="62322CE2"/>
    <w:rsid w:val="64AE4BF4"/>
    <w:rsid w:val="65E47870"/>
    <w:rsid w:val="6B2045DF"/>
    <w:rsid w:val="6BA9639E"/>
    <w:rsid w:val="6CE253D4"/>
    <w:rsid w:val="6EEF4D65"/>
    <w:rsid w:val="6FDC3BAA"/>
    <w:rsid w:val="707C154C"/>
    <w:rsid w:val="73D67FC3"/>
    <w:rsid w:val="74443387"/>
    <w:rsid w:val="74967934"/>
    <w:rsid w:val="77120146"/>
    <w:rsid w:val="7A4E23F2"/>
    <w:rsid w:val="7C9459DC"/>
    <w:rsid w:val="7D664D52"/>
    <w:rsid w:val="7FDE41E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黑体" w:hAnsi="黑体" w:eastAsia="黑体"/>
      <w:b/>
      <w:bCs/>
      <w:kern w:val="0"/>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2"/>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文字 Char"/>
    <w:basedOn w:val="7"/>
    <w:link w:val="3"/>
    <w:qFormat/>
    <w:uiPriority w:val="99"/>
    <w:rPr>
      <w:rFonts w:ascii="Times New Roman" w:hAnsi="Times New Roman" w:eastAsia="宋体" w:cs="Times New Roman"/>
      <w:szCs w:val="20"/>
    </w:rPr>
  </w:style>
  <w:style w:type="character" w:customStyle="1" w:styleId="13">
    <w:name w:val="批注框文本 Char"/>
    <w:basedOn w:val="7"/>
    <w:link w:val="4"/>
    <w:semiHidden/>
    <w:qFormat/>
    <w:uiPriority w:val="99"/>
    <w:rPr>
      <w:rFonts w:ascii="Times New Roman" w:hAnsi="Times New Roman" w:eastAsia="宋体" w:cs="Times New Roman"/>
      <w:sz w:val="18"/>
      <w:szCs w:val="18"/>
    </w:rPr>
  </w:style>
  <w:style w:type="paragraph" w:customStyle="1" w:styleId="14">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 w:type="character" w:customStyle="1" w:styleId="15">
    <w:name w:val="font41"/>
    <w:basedOn w:val="7"/>
    <w:qFormat/>
    <w:uiPriority w:val="0"/>
    <w:rPr>
      <w:rFonts w:hint="eastAsia" w:ascii="宋体" w:hAnsi="宋体" w:eastAsia="宋体" w:cs="宋体"/>
      <w:color w:val="000000"/>
      <w:sz w:val="20"/>
      <w:szCs w:val="20"/>
      <w:u w:val="none"/>
    </w:rPr>
  </w:style>
  <w:style w:type="paragraph" w:customStyle="1"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970</Words>
  <Characters>5535</Characters>
  <Lines>46</Lines>
  <Paragraphs>12</Paragraphs>
  <ScaleCrop>false</ScaleCrop>
  <LinksUpToDate>false</LinksUpToDate>
  <CharactersWithSpaces>6493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2016-08-16T10:48:00Z</dcterms:created>
  <dc:creator>赵首辰</dc:creator>
  <cp:lastModifiedBy>Administrator</cp:lastModifiedBy>
  <cp:lastPrinted>2016-08-24T01:17:56Z</cp:lastPrinted>
  <dcterms:modified xsi:type="dcterms:W3CDTF">2016-08-24T03:50:04Z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